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074F" w14:textId="175B4DB2" w:rsidR="001D2812" w:rsidRPr="00221724" w:rsidRDefault="001D2812" w:rsidP="002530D7">
      <w:pPr>
        <w:pStyle w:val="BlackStrips"/>
        <w:rPr>
          <w:rFonts w:ascii="Calibri" w:hAnsi="Calibri" w:cs="Calibri"/>
        </w:rPr>
      </w:pPr>
      <w:proofErr w:type="spellStart"/>
      <w:r w:rsidRPr="00221724">
        <w:rPr>
          <w:rFonts w:ascii="Calibri" w:hAnsi="Calibri" w:cs="Calibri"/>
        </w:rPr>
        <w:t>Charltons</w:t>
      </w:r>
      <w:proofErr w:type="spellEnd"/>
      <w:r w:rsidRPr="00221724">
        <w:rPr>
          <w:rFonts w:ascii="Calibri" w:hAnsi="Calibri" w:cs="Calibri"/>
        </w:rPr>
        <w:t xml:space="preserve"> - Hong Kong Law - </w:t>
      </w:r>
      <w:r>
        <w:rPr>
          <w:rFonts w:ascii="Calibri" w:hAnsi="Calibri" w:cs="Calibri"/>
        </w:rPr>
        <w:t>03</w:t>
      </w:r>
      <w:r w:rsidRPr="00221724">
        <w:rPr>
          <w:rFonts w:ascii="Calibri" w:hAnsi="Calibri" w:cs="Calibri"/>
        </w:rPr>
        <w:t xml:space="preserve"> </w:t>
      </w:r>
      <w:proofErr w:type="spellStart"/>
      <w:r>
        <w:rPr>
          <w:rFonts w:ascii="Calibri" w:hAnsi="Calibri" w:cs="Calibri"/>
        </w:rPr>
        <w:t>Fabruary</w:t>
      </w:r>
      <w:proofErr w:type="spellEnd"/>
      <w:r w:rsidRPr="00221724">
        <w:rPr>
          <w:rFonts w:ascii="Calibri" w:hAnsi="Calibri" w:cs="Calibri"/>
        </w:rPr>
        <w:t xml:space="preserve"> 2021</w:t>
      </w:r>
    </w:p>
    <w:p w14:paraId="71F7A0A2" w14:textId="714B7CD4" w:rsidR="00BE6F64" w:rsidRPr="00BE6F64" w:rsidRDefault="00E61D4C" w:rsidP="002530D7">
      <w:pPr>
        <w:pStyle w:val="ReadOnline"/>
        <w:rPr>
          <w:rFonts w:ascii="Calibri" w:hAnsi="Calibri" w:cs="Calibri"/>
        </w:rPr>
      </w:pPr>
      <w:hyperlink r:id="rId8">
        <w:r w:rsidR="001D2812" w:rsidRPr="00221724">
          <w:rPr>
            <w:rFonts w:ascii="Calibri" w:hAnsi="Calibri" w:cs="Calibri"/>
          </w:rPr>
          <w:t>online version</w:t>
        </w:r>
      </w:hyperlink>
    </w:p>
    <w:p w14:paraId="43DA4B55" w14:textId="77777777" w:rsidR="00BE6F64" w:rsidRDefault="00BE6F64" w:rsidP="002530D7">
      <w:pPr>
        <w:spacing w:after="0" w:line="240" w:lineRule="auto"/>
        <w:jc w:val="both"/>
      </w:pPr>
    </w:p>
    <w:p w14:paraId="62DD320E" w14:textId="0D91D71C" w:rsidR="00BE6F64" w:rsidRPr="00BE6F64" w:rsidRDefault="00933F4A" w:rsidP="002530D7">
      <w:pPr>
        <w:spacing w:line="240" w:lineRule="auto"/>
        <w:jc w:val="center"/>
        <w:rPr>
          <w:b/>
        </w:rPr>
      </w:pPr>
      <w:r w:rsidRPr="00AC13ED">
        <w:rPr>
          <w:b/>
          <w:bCs/>
          <w:color w:val="FF0000"/>
        </w:rPr>
        <w:t xml:space="preserve">HKMA </w:t>
      </w:r>
      <w:r>
        <w:rPr>
          <w:b/>
          <w:bCs/>
          <w:color w:val="FF0000"/>
        </w:rPr>
        <w:t>Issues P</w:t>
      </w:r>
      <w:r w:rsidRPr="00AC13ED">
        <w:rPr>
          <w:b/>
          <w:bCs/>
          <w:color w:val="FF0000"/>
        </w:rPr>
        <w:t xml:space="preserve">roposals for </w:t>
      </w:r>
      <w:r>
        <w:rPr>
          <w:b/>
          <w:bCs/>
          <w:color w:val="FF0000"/>
        </w:rPr>
        <w:t xml:space="preserve">Regulating Payment-related </w:t>
      </w:r>
      <w:proofErr w:type="spellStart"/>
      <w:r>
        <w:rPr>
          <w:b/>
          <w:bCs/>
          <w:color w:val="FF0000"/>
        </w:rPr>
        <w:t>S</w:t>
      </w:r>
      <w:r w:rsidRPr="00AC13ED">
        <w:rPr>
          <w:b/>
          <w:bCs/>
          <w:color w:val="FF0000"/>
        </w:rPr>
        <w:t>tablecoins</w:t>
      </w:r>
      <w:proofErr w:type="spellEnd"/>
      <w:r w:rsidRPr="00933F4A" w:rsidDel="00933F4A">
        <w:rPr>
          <w:b/>
          <w:bCs/>
          <w:color w:val="FF0000"/>
        </w:rPr>
        <w:t xml:space="preserve"> </w:t>
      </w:r>
    </w:p>
    <w:p w14:paraId="5AD629D0" w14:textId="77777777" w:rsidR="00BE6F64" w:rsidRDefault="00BE6F64" w:rsidP="002530D7">
      <w:pPr>
        <w:spacing w:after="0" w:line="240" w:lineRule="auto"/>
        <w:jc w:val="both"/>
      </w:pPr>
    </w:p>
    <w:p w14:paraId="20354DD9" w14:textId="77777777" w:rsidR="00BE6F64" w:rsidRDefault="00517F9D" w:rsidP="002530D7">
      <w:pPr>
        <w:spacing w:after="0" w:line="240" w:lineRule="auto"/>
        <w:jc w:val="both"/>
      </w:pPr>
      <w:r>
        <w:t>On 12 January 2022, t</w:t>
      </w:r>
      <w:r w:rsidR="00A30177">
        <w:t xml:space="preserve">he Hong Kong Monetary Authority (the </w:t>
      </w:r>
      <w:r w:rsidR="00A30177" w:rsidRPr="00A30177">
        <w:rPr>
          <w:b/>
          <w:bCs/>
        </w:rPr>
        <w:t>HKMA</w:t>
      </w:r>
      <w:r w:rsidR="00A30177">
        <w:t xml:space="preserve">) published a </w:t>
      </w:r>
      <w:hyperlink r:id="rId9" w:history="1">
        <w:r w:rsidRPr="00B80699">
          <w:rPr>
            <w:rStyle w:val="a4"/>
          </w:rPr>
          <w:t>D</w:t>
        </w:r>
        <w:r w:rsidR="00A30177" w:rsidRPr="00B80699">
          <w:rPr>
            <w:rStyle w:val="a4"/>
          </w:rPr>
          <w:t xml:space="preserve">iscussion </w:t>
        </w:r>
        <w:r w:rsidRPr="00B80699">
          <w:rPr>
            <w:rStyle w:val="a4"/>
          </w:rPr>
          <w:t>P</w:t>
        </w:r>
        <w:r w:rsidR="00A30177" w:rsidRPr="00B80699">
          <w:rPr>
            <w:rStyle w:val="a4"/>
          </w:rPr>
          <w:t xml:space="preserve">aper on </w:t>
        </w:r>
        <w:r w:rsidRPr="00B80699">
          <w:rPr>
            <w:rStyle w:val="a4"/>
          </w:rPr>
          <w:t xml:space="preserve">Crypto-assets and </w:t>
        </w:r>
        <w:proofErr w:type="spellStart"/>
        <w:r w:rsidRPr="00B80699">
          <w:rPr>
            <w:rStyle w:val="a4"/>
          </w:rPr>
          <w:t>Stablecoi</w:t>
        </w:r>
        <w:r w:rsidR="006006B7" w:rsidRPr="00B80699">
          <w:rPr>
            <w:rStyle w:val="a4"/>
          </w:rPr>
          <w:t>ns</w:t>
        </w:r>
        <w:proofErr w:type="spellEnd"/>
      </w:hyperlink>
      <w:r>
        <w:rPr>
          <w:rStyle w:val="a7"/>
        </w:rPr>
        <w:footnoteReference w:id="1"/>
      </w:r>
      <w:r>
        <w:t xml:space="preserve"> </w:t>
      </w:r>
      <w:r w:rsidR="00755269">
        <w:t>seek</w:t>
      </w:r>
      <w:r w:rsidR="0049605E">
        <w:t>ing</w:t>
      </w:r>
      <w:r w:rsidR="00755269">
        <w:t xml:space="preserve"> feedback on </w:t>
      </w:r>
      <w:r>
        <w:t xml:space="preserve">its </w:t>
      </w:r>
      <w:r w:rsidR="00755269">
        <w:t>propos</w:t>
      </w:r>
      <w:r>
        <w:t>ed</w:t>
      </w:r>
      <w:r w:rsidR="00755269">
        <w:t xml:space="preserve"> regulat</w:t>
      </w:r>
      <w:r>
        <w:t>i</w:t>
      </w:r>
      <w:r w:rsidR="00755269">
        <w:t>o</w:t>
      </w:r>
      <w:r>
        <w:t>n of</w:t>
      </w:r>
      <w:r w:rsidR="00755269">
        <w:t xml:space="preserve"> </w:t>
      </w:r>
      <w:r>
        <w:t>“</w:t>
      </w:r>
      <w:r w:rsidR="00755269">
        <w:t xml:space="preserve">payment-related </w:t>
      </w:r>
      <w:proofErr w:type="spellStart"/>
      <w:r w:rsidR="00755269">
        <w:t>stablecoins</w:t>
      </w:r>
      <w:proofErr w:type="spellEnd"/>
      <w:r>
        <w:t xml:space="preserve">”, being those </w:t>
      </w:r>
      <w:r w:rsidR="00D81BD5">
        <w:t xml:space="preserve">crypto-assets </w:t>
      </w:r>
      <w:r>
        <w:t>most likely to become widely accepted as a means of payment and thus most likely to intersect with mainstream finance</w:t>
      </w:r>
      <w:r w:rsidR="0032397E">
        <w:rPr>
          <w:rStyle w:val="a7"/>
        </w:rPr>
        <w:footnoteReference w:id="2"/>
      </w:r>
      <w:r w:rsidR="00755269">
        <w:t xml:space="preserve"> (the </w:t>
      </w:r>
      <w:r w:rsidR="00755269" w:rsidRPr="00755269">
        <w:rPr>
          <w:b/>
          <w:bCs/>
        </w:rPr>
        <w:t xml:space="preserve">HKMA </w:t>
      </w:r>
      <w:proofErr w:type="spellStart"/>
      <w:r w:rsidR="00755269" w:rsidRPr="00755269">
        <w:rPr>
          <w:b/>
          <w:bCs/>
        </w:rPr>
        <w:t>Stablecoin</w:t>
      </w:r>
      <w:proofErr w:type="spellEnd"/>
      <w:r w:rsidR="00755269" w:rsidRPr="00755269">
        <w:rPr>
          <w:b/>
          <w:bCs/>
        </w:rPr>
        <w:t xml:space="preserve"> Discussion</w:t>
      </w:r>
      <w:r w:rsidR="00D77CBA">
        <w:rPr>
          <w:b/>
          <w:bCs/>
        </w:rPr>
        <w:t xml:space="preserve"> Paper</w:t>
      </w:r>
      <w:r w:rsidR="00755269">
        <w:t xml:space="preserve">). </w:t>
      </w:r>
      <w:r w:rsidR="0037740A">
        <w:t xml:space="preserve">The proposed regulatory framework aims to </w:t>
      </w:r>
      <w:r w:rsidR="00682497">
        <w:t>address the risks posed to users and the financial system by the increasing use of crypto-assets while encouraging the potential benefit</w:t>
      </w:r>
      <w:r w:rsidR="006006B7">
        <w:t>s</w:t>
      </w:r>
      <w:r w:rsidR="00682497">
        <w:t xml:space="preserve"> of financial innovation</w:t>
      </w:r>
      <w:r w:rsidR="005A1CA1">
        <w:t>.</w:t>
      </w:r>
    </w:p>
    <w:p w14:paraId="37F84E4E" w14:textId="77777777" w:rsidR="00BE6F64" w:rsidRDefault="00BE6F64" w:rsidP="002530D7">
      <w:pPr>
        <w:spacing w:after="0" w:line="240" w:lineRule="auto"/>
        <w:jc w:val="both"/>
      </w:pPr>
    </w:p>
    <w:p w14:paraId="4E341375" w14:textId="77777777" w:rsidR="00BE6F64" w:rsidRDefault="0032397E" w:rsidP="002530D7">
      <w:pPr>
        <w:spacing w:after="0" w:line="240" w:lineRule="auto"/>
        <w:jc w:val="both"/>
      </w:pPr>
      <w:r>
        <w:t>T</w:t>
      </w:r>
      <w:r w:rsidR="005A1CA1">
        <w:t xml:space="preserve">he </w:t>
      </w:r>
      <w:r w:rsidR="00270142">
        <w:t xml:space="preserve">HKMA has </w:t>
      </w:r>
      <w:r w:rsidR="005A1CA1">
        <w:t>identifie</w:t>
      </w:r>
      <w:r w:rsidR="00270142">
        <w:t>d</w:t>
      </w:r>
      <w:r w:rsidR="005A1CA1">
        <w:t xml:space="preserve"> two ma</w:t>
      </w:r>
      <w:r>
        <w:t>in</w:t>
      </w:r>
      <w:r w:rsidR="005A1CA1">
        <w:t xml:space="preserve"> areas</w:t>
      </w:r>
      <w:r w:rsidR="00270142">
        <w:t xml:space="preserve"> </w:t>
      </w:r>
      <w:r w:rsidR="00682497">
        <w:t>in need of review</w:t>
      </w:r>
      <w:r w:rsidR="00541C28">
        <w:t>: (</w:t>
      </w:r>
      <w:proofErr w:type="spellStart"/>
      <w:r w:rsidR="00541C28">
        <w:t>i</w:t>
      </w:r>
      <w:proofErr w:type="spellEnd"/>
      <w:r w:rsidR="00541C28">
        <w:t xml:space="preserve">) </w:t>
      </w:r>
      <w:r w:rsidR="00682497">
        <w:t xml:space="preserve">the HKMA’s regulation of </w:t>
      </w:r>
      <w:proofErr w:type="spellStart"/>
      <w:r w:rsidR="00541C28">
        <w:t>Authorised</w:t>
      </w:r>
      <w:proofErr w:type="spellEnd"/>
      <w:r w:rsidR="00541C28">
        <w:t xml:space="preserve"> Institutions</w:t>
      </w:r>
      <w:r w:rsidR="00FC55C6">
        <w:t>’</w:t>
      </w:r>
      <w:r w:rsidR="00541C28">
        <w:t xml:space="preserve"> (</w:t>
      </w:r>
      <w:r w:rsidR="00541C28" w:rsidRPr="00541C28">
        <w:rPr>
          <w:b/>
          <w:bCs/>
        </w:rPr>
        <w:t>AIs</w:t>
      </w:r>
      <w:r w:rsidR="00541C28">
        <w:t>)</w:t>
      </w:r>
      <w:r w:rsidR="00092408">
        <w:rPr>
          <w:rStyle w:val="a7"/>
        </w:rPr>
        <w:footnoteReference w:id="3"/>
      </w:r>
      <w:r w:rsidR="00FC55C6">
        <w:t xml:space="preserve"> in</w:t>
      </w:r>
      <w:r w:rsidR="008B6236">
        <w:t>terface with</w:t>
      </w:r>
      <w:r w:rsidR="00B43D18">
        <w:t xml:space="preserve"> crypto-assets</w:t>
      </w:r>
      <w:r w:rsidR="008B6236">
        <w:t xml:space="preserve"> and </w:t>
      </w:r>
      <w:r w:rsidR="00B43D18">
        <w:t xml:space="preserve">their </w:t>
      </w:r>
      <w:r w:rsidR="008B6236">
        <w:t xml:space="preserve">provision of </w:t>
      </w:r>
      <w:r w:rsidR="00270142">
        <w:t>crypto asset-</w:t>
      </w:r>
      <w:r w:rsidR="00B43D18">
        <w:t xml:space="preserve">related </w:t>
      </w:r>
      <w:r w:rsidR="008B6236">
        <w:t>services to customers; and (ii) the adequacy of existing regulat</w:t>
      </w:r>
      <w:r w:rsidR="006006B7">
        <w:t>ions</w:t>
      </w:r>
      <w:r w:rsidR="008B6236">
        <w:t xml:space="preserve"> </w:t>
      </w:r>
      <w:r w:rsidR="00682497">
        <w:t>to deal with</w:t>
      </w:r>
      <w:r>
        <w:t xml:space="preserve"> </w:t>
      </w:r>
      <w:r w:rsidR="00682497">
        <w:t xml:space="preserve">the </w:t>
      </w:r>
      <w:r w:rsidR="00393AF6">
        <w:t xml:space="preserve">risks arising from the growing </w:t>
      </w:r>
      <w:r>
        <w:t xml:space="preserve">use </w:t>
      </w:r>
      <w:r w:rsidR="001D6B07">
        <w:t xml:space="preserve">of </w:t>
      </w:r>
      <w:proofErr w:type="spellStart"/>
      <w:r w:rsidR="001D6B07">
        <w:t>stablecoins</w:t>
      </w:r>
      <w:proofErr w:type="spellEnd"/>
      <w:r w:rsidR="001D6B07">
        <w:t xml:space="preserve"> and other crypto-assets. The </w:t>
      </w:r>
      <w:r w:rsidR="00270142">
        <w:t xml:space="preserve">first area has </w:t>
      </w:r>
      <w:r w:rsidR="00682497">
        <w:t xml:space="preserve">now </w:t>
      </w:r>
      <w:r w:rsidR="00270142">
        <w:t xml:space="preserve">been addressed in the </w:t>
      </w:r>
      <w:r w:rsidR="001D6B07">
        <w:t>HKMA</w:t>
      </w:r>
      <w:r w:rsidR="00B43D18">
        <w:t>’s circular “</w:t>
      </w:r>
      <w:hyperlink r:id="rId10" w:history="1">
        <w:r w:rsidR="00B43D18" w:rsidRPr="00B43D18">
          <w:rPr>
            <w:rStyle w:val="a4"/>
          </w:rPr>
          <w:t>Regulatory approaches to Authorized Institutions’ interface with Virtual Assets and Virtual Asset Service Providers</w:t>
        </w:r>
      </w:hyperlink>
      <w:r w:rsidR="00B43D18">
        <w:t>”</w:t>
      </w:r>
      <w:r w:rsidR="00B43D18">
        <w:rPr>
          <w:rStyle w:val="a7"/>
        </w:rPr>
        <w:footnoteReference w:id="4"/>
      </w:r>
      <w:r w:rsidR="00B43D18">
        <w:t xml:space="preserve"> issued on 28</w:t>
      </w:r>
      <w:r w:rsidR="00B43D18">
        <w:rPr>
          <w:vertAlign w:val="superscript"/>
        </w:rPr>
        <w:t xml:space="preserve"> </w:t>
      </w:r>
      <w:r w:rsidR="00B43D18">
        <w:t>January 2022</w:t>
      </w:r>
      <w:r w:rsidR="00270142">
        <w:t>.</w:t>
      </w:r>
      <w:r w:rsidR="00B43D18">
        <w:t xml:space="preserve"> </w:t>
      </w:r>
      <w:r w:rsidR="001D6B07">
        <w:t xml:space="preserve"> </w:t>
      </w:r>
      <w:r w:rsidR="00D77CBA">
        <w:t xml:space="preserve">The </w:t>
      </w:r>
      <w:r w:rsidR="00270142">
        <w:t xml:space="preserve">second area, and the need to regulate </w:t>
      </w:r>
      <w:proofErr w:type="spellStart"/>
      <w:r w:rsidR="00270142">
        <w:t>stablecoins</w:t>
      </w:r>
      <w:proofErr w:type="spellEnd"/>
      <w:r w:rsidR="00270142">
        <w:t xml:space="preserve"> in particular, are the subject of the </w:t>
      </w:r>
      <w:r w:rsidR="00D77CBA">
        <w:t xml:space="preserve">HKMA </w:t>
      </w:r>
      <w:proofErr w:type="spellStart"/>
      <w:r w:rsidR="00D77CBA">
        <w:t>Stablecoin</w:t>
      </w:r>
      <w:proofErr w:type="spellEnd"/>
      <w:r w:rsidR="00D77CBA">
        <w:t xml:space="preserve"> Discussion Paper</w:t>
      </w:r>
      <w:r w:rsidR="00437438">
        <w:t>.</w:t>
      </w:r>
    </w:p>
    <w:p w14:paraId="3EDB56AE" w14:textId="77777777" w:rsidR="00BE6F64" w:rsidRDefault="00BE6F64" w:rsidP="002530D7">
      <w:pPr>
        <w:spacing w:after="0" w:line="240" w:lineRule="auto"/>
        <w:jc w:val="both"/>
      </w:pPr>
    </w:p>
    <w:p w14:paraId="594A14EB" w14:textId="7F992F9E" w:rsidR="00BE6F64" w:rsidRDefault="00BB2BDB" w:rsidP="002530D7">
      <w:pPr>
        <w:spacing w:after="0" w:line="240" w:lineRule="auto"/>
        <w:jc w:val="both"/>
      </w:pPr>
      <w:r>
        <w:t xml:space="preserve">AIs intending to offer investment services </w:t>
      </w:r>
      <w:r w:rsidR="0032397E">
        <w:t xml:space="preserve">in </w:t>
      </w:r>
      <w:r>
        <w:t>relat</w:t>
      </w:r>
      <w:r w:rsidR="0032397E">
        <w:t>ion</w:t>
      </w:r>
      <w:r>
        <w:t xml:space="preserve"> to </w:t>
      </w:r>
      <w:r w:rsidR="0032397E">
        <w:t>crypto-</w:t>
      </w:r>
      <w:r>
        <w:t xml:space="preserve">assets are </w:t>
      </w:r>
      <w:r w:rsidR="0032397E">
        <w:t xml:space="preserve">already </w:t>
      </w:r>
      <w:r>
        <w:t xml:space="preserve">required to notify the HKMA and the Securities and Futures Commission (the </w:t>
      </w:r>
      <w:r w:rsidRPr="006A7A78">
        <w:rPr>
          <w:b/>
          <w:bCs/>
        </w:rPr>
        <w:t>SFC</w:t>
      </w:r>
      <w:r>
        <w:t xml:space="preserve">) in advance. </w:t>
      </w:r>
      <w:r w:rsidR="00DD38FF">
        <w:t xml:space="preserve">In respect of non-payment-related (including unbacked) crypto-assets, the </w:t>
      </w:r>
      <w:r w:rsidR="00550643">
        <w:t xml:space="preserve">HKMA </w:t>
      </w:r>
      <w:r w:rsidR="00682497">
        <w:t>has been</w:t>
      </w:r>
      <w:r w:rsidR="00550643">
        <w:t xml:space="preserve"> working with the SFC </w:t>
      </w:r>
      <w:r w:rsidR="0032397E">
        <w:t xml:space="preserve">on </w:t>
      </w:r>
      <w:r w:rsidR="00DE23FD">
        <w:t xml:space="preserve">their </w:t>
      </w:r>
      <w:r w:rsidR="007B39C7">
        <w:t xml:space="preserve">regulatory expectations </w:t>
      </w:r>
      <w:r w:rsidR="006006B7">
        <w:t>for</w:t>
      </w:r>
      <w:r w:rsidR="00CE7B69">
        <w:t xml:space="preserve"> </w:t>
      </w:r>
      <w:r w:rsidR="00DE23FD">
        <w:t>the</w:t>
      </w:r>
      <w:r w:rsidR="007B39C7">
        <w:t xml:space="preserve"> investor protection </w:t>
      </w:r>
      <w:r w:rsidR="006006B7">
        <w:t xml:space="preserve">to be provided by </w:t>
      </w:r>
      <w:r w:rsidR="007B39C7">
        <w:t xml:space="preserve">AIs </w:t>
      </w:r>
      <w:r w:rsidR="006006B7">
        <w:t xml:space="preserve">offering crypto asset-related </w:t>
      </w:r>
      <w:r w:rsidR="007B39C7">
        <w:t>services</w:t>
      </w:r>
      <w:r w:rsidR="006006B7">
        <w:t xml:space="preserve"> as intermediaries</w:t>
      </w:r>
      <w:r w:rsidR="007B39C7">
        <w:t>.</w:t>
      </w:r>
      <w:r w:rsidR="00E902A2">
        <w:t xml:space="preserve"> On 28 January 2022, the HKMA and SFC published a </w:t>
      </w:r>
      <w:hyperlink r:id="rId11" w:history="1">
        <w:r w:rsidR="00E902A2" w:rsidRPr="00270142">
          <w:rPr>
            <w:rStyle w:val="a4"/>
          </w:rPr>
          <w:t>Joint circular on intermediaries’ virtual asset-related activities</w:t>
        </w:r>
      </w:hyperlink>
      <w:r w:rsidR="00E902A2">
        <w:t xml:space="preserve"> setting </w:t>
      </w:r>
      <w:r w:rsidR="00270142">
        <w:t>out the</w:t>
      </w:r>
      <w:r w:rsidR="006006B7">
        <w:t>ir</w:t>
      </w:r>
      <w:r w:rsidR="00270142">
        <w:t xml:space="preserve"> requirements for intermediaries </w:t>
      </w:r>
      <w:r w:rsidR="00EE2C7C">
        <w:t>conducting virtual asset-related activities, such as providing virtual asset advisory and dealing services and distributing virtual asset-related products, replacing the SFC’s requirements set out in its 1 November 2018 circular to intermediaries on the distribution of virtual asset funds.</w:t>
      </w:r>
    </w:p>
    <w:p w14:paraId="0A115E21" w14:textId="77777777" w:rsidR="00BE6F64" w:rsidRDefault="00BE6F64" w:rsidP="002530D7">
      <w:pPr>
        <w:spacing w:after="0" w:line="240" w:lineRule="auto"/>
        <w:jc w:val="both"/>
      </w:pPr>
    </w:p>
    <w:p w14:paraId="1D10A178" w14:textId="77777777" w:rsidR="0047237A" w:rsidRDefault="00F12531" w:rsidP="002530D7">
      <w:pPr>
        <w:spacing w:after="0" w:line="240" w:lineRule="auto"/>
        <w:jc w:val="both"/>
      </w:pPr>
      <w:r>
        <w:t xml:space="preserve">The </w:t>
      </w:r>
      <w:r w:rsidR="0032397E">
        <w:t xml:space="preserve">HKMA </w:t>
      </w:r>
      <w:proofErr w:type="spellStart"/>
      <w:r w:rsidR="0032397E">
        <w:t>Stablecoin</w:t>
      </w:r>
      <w:proofErr w:type="spellEnd"/>
      <w:r w:rsidR="0032397E">
        <w:t xml:space="preserve"> Discussion Paper </w:t>
      </w:r>
      <w:r>
        <w:t>sets out the HKMA’s propos</w:t>
      </w:r>
      <w:r w:rsidR="0032397E">
        <w:t>ed</w:t>
      </w:r>
      <w:r>
        <w:t xml:space="preserve"> regulatory regime for entities conducting</w:t>
      </w:r>
      <w:r w:rsidR="00B150DB">
        <w:t xml:space="preserve"> activities </w:t>
      </w:r>
      <w:r w:rsidR="0032397E">
        <w:t xml:space="preserve">in </w:t>
      </w:r>
      <w:r w:rsidR="00B150DB">
        <w:t>relati</w:t>
      </w:r>
      <w:r w:rsidR="0032397E">
        <w:t>o</w:t>
      </w:r>
      <w:r w:rsidR="00B150DB">
        <w:t xml:space="preserve">n to payment-related </w:t>
      </w:r>
      <w:proofErr w:type="spellStart"/>
      <w:r w:rsidR="00B150DB">
        <w:t>stablecoins</w:t>
      </w:r>
      <w:proofErr w:type="spellEnd"/>
      <w:r w:rsidR="00B150DB">
        <w:t xml:space="preserve"> in Hong Kong</w:t>
      </w:r>
      <w:r w:rsidR="005830F2">
        <w:t xml:space="preserve">. Responses should be submitted on or before </w:t>
      </w:r>
      <w:r w:rsidR="00B150DB">
        <w:t xml:space="preserve">31 March 2022 </w:t>
      </w:r>
      <w:r w:rsidR="005830F2">
        <w:t xml:space="preserve">by </w:t>
      </w:r>
      <w:r w:rsidR="00B150DB">
        <w:t xml:space="preserve">email to </w:t>
      </w:r>
      <w:hyperlink r:id="rId12" w:history="1">
        <w:r w:rsidR="00A9785C" w:rsidRPr="00F06F2A">
          <w:rPr>
            <w:rStyle w:val="a4"/>
          </w:rPr>
          <w:t>stablecoin_feedback@hkma.gov.hk</w:t>
        </w:r>
      </w:hyperlink>
      <w:r w:rsidR="00B150DB">
        <w:t>.</w:t>
      </w:r>
    </w:p>
    <w:p w14:paraId="220F422E" w14:textId="77777777" w:rsidR="0047237A" w:rsidRDefault="0047237A" w:rsidP="002530D7">
      <w:pPr>
        <w:spacing w:after="0" w:line="240" w:lineRule="auto"/>
        <w:jc w:val="both"/>
      </w:pPr>
    </w:p>
    <w:p w14:paraId="70BA5959" w14:textId="77777777" w:rsidR="0047237A" w:rsidRDefault="0047116D" w:rsidP="002530D7">
      <w:pPr>
        <w:spacing w:after="0" w:line="240" w:lineRule="auto"/>
        <w:jc w:val="both"/>
      </w:pPr>
      <w:r>
        <w:rPr>
          <w:b/>
          <w:bCs/>
          <w:color w:val="FF0000"/>
        </w:rPr>
        <w:t xml:space="preserve">Hong Kong’s Current Regulatory Regime for Crypto </w:t>
      </w:r>
      <w:r w:rsidR="009E0E2C">
        <w:rPr>
          <w:b/>
          <w:bCs/>
          <w:color w:val="FF0000"/>
        </w:rPr>
        <w:t>and Regulatory Gaps</w:t>
      </w:r>
    </w:p>
    <w:p w14:paraId="38029FD9" w14:textId="77777777" w:rsidR="0047237A" w:rsidRDefault="0047237A" w:rsidP="002530D7">
      <w:pPr>
        <w:spacing w:after="0" w:line="240" w:lineRule="auto"/>
        <w:jc w:val="both"/>
      </w:pPr>
    </w:p>
    <w:p w14:paraId="763B70CC" w14:textId="35B8CDF5" w:rsidR="0047237A" w:rsidRDefault="00032E44" w:rsidP="002530D7">
      <w:pPr>
        <w:spacing w:after="0" w:line="240" w:lineRule="auto"/>
        <w:jc w:val="both"/>
        <w:rPr>
          <w:bCs/>
        </w:rPr>
      </w:pPr>
      <w:r>
        <w:rPr>
          <w:bCs/>
        </w:rPr>
        <w:t xml:space="preserve">The HKMA notes that while </w:t>
      </w:r>
      <w:proofErr w:type="spellStart"/>
      <w:r>
        <w:rPr>
          <w:bCs/>
        </w:rPr>
        <w:t>stablecoins</w:t>
      </w:r>
      <w:proofErr w:type="spellEnd"/>
      <w:r>
        <w:rPr>
          <w:bCs/>
        </w:rPr>
        <w:t xml:space="preserve"> may be or become </w:t>
      </w:r>
      <w:r w:rsidR="006921A6">
        <w:rPr>
          <w:bCs/>
        </w:rPr>
        <w:t>a</w:t>
      </w:r>
      <w:r w:rsidR="006006B7">
        <w:rPr>
          <w:bCs/>
        </w:rPr>
        <w:t>n accepted</w:t>
      </w:r>
      <w:r w:rsidR="006921A6">
        <w:rPr>
          <w:bCs/>
        </w:rPr>
        <w:t xml:space="preserve"> </w:t>
      </w:r>
      <w:r>
        <w:rPr>
          <w:bCs/>
        </w:rPr>
        <w:t xml:space="preserve">means of making payments, they may fall outside the scope of </w:t>
      </w:r>
      <w:r w:rsidR="006006B7">
        <w:rPr>
          <w:bCs/>
        </w:rPr>
        <w:t xml:space="preserve">current </w:t>
      </w:r>
      <w:r>
        <w:rPr>
          <w:bCs/>
        </w:rPr>
        <w:t>Hong Kong regulation.</w:t>
      </w:r>
    </w:p>
    <w:p w14:paraId="0DC2116A" w14:textId="6922C814" w:rsidR="002530D7" w:rsidRDefault="002530D7" w:rsidP="002530D7">
      <w:pPr>
        <w:spacing w:after="0" w:line="240" w:lineRule="auto"/>
        <w:jc w:val="both"/>
        <w:rPr>
          <w:bCs/>
        </w:rPr>
      </w:pPr>
    </w:p>
    <w:p w14:paraId="7662866C" w14:textId="3CCBD14C" w:rsidR="002530D7" w:rsidRDefault="002530D7" w:rsidP="002530D7">
      <w:pPr>
        <w:spacing w:after="0" w:line="240" w:lineRule="auto"/>
        <w:jc w:val="both"/>
        <w:rPr>
          <w:bCs/>
        </w:rPr>
      </w:pPr>
    </w:p>
    <w:p w14:paraId="72293862" w14:textId="3264F765" w:rsidR="002530D7" w:rsidRDefault="002530D7" w:rsidP="002530D7">
      <w:pPr>
        <w:spacing w:after="0" w:line="240" w:lineRule="auto"/>
        <w:jc w:val="both"/>
        <w:rPr>
          <w:bCs/>
        </w:rPr>
      </w:pPr>
    </w:p>
    <w:p w14:paraId="6673B7D4" w14:textId="77777777" w:rsidR="002530D7" w:rsidRDefault="002530D7" w:rsidP="002530D7">
      <w:pPr>
        <w:spacing w:after="0" w:line="240" w:lineRule="auto"/>
        <w:jc w:val="both"/>
      </w:pPr>
    </w:p>
    <w:p w14:paraId="61634382" w14:textId="77777777" w:rsidR="0047237A" w:rsidRDefault="0047237A" w:rsidP="002530D7">
      <w:pPr>
        <w:spacing w:after="0" w:line="240" w:lineRule="auto"/>
        <w:jc w:val="both"/>
      </w:pPr>
    </w:p>
    <w:p w14:paraId="5A5835F1" w14:textId="77777777" w:rsidR="0047237A" w:rsidRDefault="0047116D" w:rsidP="002530D7">
      <w:pPr>
        <w:spacing w:after="0" w:line="240" w:lineRule="auto"/>
        <w:jc w:val="both"/>
      </w:pPr>
      <w:r>
        <w:rPr>
          <w:b/>
          <w:bCs/>
        </w:rPr>
        <w:lastRenderedPageBreak/>
        <w:t>SFC Licensing Regime under the Securities and Futures Ordinance (SFO)</w:t>
      </w:r>
    </w:p>
    <w:p w14:paraId="051A3FE3" w14:textId="77777777" w:rsidR="0047237A" w:rsidRDefault="0047237A" w:rsidP="002530D7">
      <w:pPr>
        <w:spacing w:after="0" w:line="240" w:lineRule="auto"/>
        <w:jc w:val="both"/>
      </w:pPr>
    </w:p>
    <w:p w14:paraId="57F5BC3A" w14:textId="77777777" w:rsidR="0047237A" w:rsidRDefault="0047116D" w:rsidP="002530D7">
      <w:pPr>
        <w:spacing w:after="0" w:line="240" w:lineRule="auto"/>
        <w:jc w:val="both"/>
      </w:pPr>
      <w:r>
        <w:rPr>
          <w:bCs/>
        </w:rPr>
        <w:t xml:space="preserve">The SFC published its </w:t>
      </w:r>
      <w:hyperlink r:id="rId13" w:history="1">
        <w:r w:rsidRPr="0047116D">
          <w:rPr>
            <w:rStyle w:val="a4"/>
            <w:bCs/>
          </w:rPr>
          <w:t>Position Paper</w:t>
        </w:r>
      </w:hyperlink>
      <w:r>
        <w:rPr>
          <w:rStyle w:val="a7"/>
          <w:bCs/>
        </w:rPr>
        <w:footnoteReference w:id="5"/>
      </w:r>
      <w:r>
        <w:rPr>
          <w:bCs/>
        </w:rPr>
        <w:t xml:space="preserve"> on the regulation of virtual asset trading platforms in November 2019</w:t>
      </w:r>
      <w:r w:rsidR="008269B2">
        <w:rPr>
          <w:bCs/>
        </w:rPr>
        <w:t xml:space="preserve"> introducing a licensing regime for the operators of </w:t>
      </w:r>
      <w:proofErr w:type="spellStart"/>
      <w:r w:rsidR="008269B2">
        <w:rPr>
          <w:bCs/>
        </w:rPr>
        <w:t>centralised</w:t>
      </w:r>
      <w:proofErr w:type="spellEnd"/>
      <w:r w:rsidR="008269B2">
        <w:rPr>
          <w:bCs/>
        </w:rPr>
        <w:t xml:space="preserve"> virtual asset trading platforms which trade at least one virtual asset which is a security as defined under the SFO. To date, the SFC has licensed just one virtual asset trading platform.</w:t>
      </w:r>
      <w:r w:rsidR="009E0E2C">
        <w:rPr>
          <w:bCs/>
        </w:rPr>
        <w:t xml:space="preserve"> Once a platform operator becomes licensed, the SFC will monitor its trading activities in relation to all virtual assets traded, not only those that are securities.</w:t>
      </w:r>
    </w:p>
    <w:p w14:paraId="0942D976" w14:textId="77777777" w:rsidR="0047237A" w:rsidRDefault="0047237A" w:rsidP="002530D7">
      <w:pPr>
        <w:spacing w:after="0" w:line="240" w:lineRule="auto"/>
        <w:jc w:val="both"/>
      </w:pPr>
    </w:p>
    <w:p w14:paraId="5F08A945" w14:textId="77777777" w:rsidR="0047237A" w:rsidRDefault="008269B2" w:rsidP="002530D7">
      <w:pPr>
        <w:spacing w:after="0" w:line="240" w:lineRule="auto"/>
        <w:jc w:val="both"/>
      </w:pPr>
      <w:r w:rsidRPr="00AC13ED">
        <w:rPr>
          <w:b/>
          <w:bCs/>
        </w:rPr>
        <w:t xml:space="preserve">Proposed </w:t>
      </w:r>
      <w:r>
        <w:rPr>
          <w:b/>
          <w:bCs/>
        </w:rPr>
        <w:t>Licensing Regime for Virtual Asset Service P</w:t>
      </w:r>
      <w:r w:rsidRPr="00AC13ED">
        <w:rPr>
          <w:b/>
          <w:bCs/>
        </w:rPr>
        <w:t>roviders</w:t>
      </w:r>
      <w:r>
        <w:rPr>
          <w:b/>
          <w:bCs/>
        </w:rPr>
        <w:t xml:space="preserve"> (VASPs)</w:t>
      </w:r>
    </w:p>
    <w:p w14:paraId="6A52AE08" w14:textId="77777777" w:rsidR="0047237A" w:rsidRDefault="0047237A" w:rsidP="002530D7">
      <w:pPr>
        <w:spacing w:after="0" w:line="240" w:lineRule="auto"/>
        <w:jc w:val="both"/>
      </w:pPr>
    </w:p>
    <w:p w14:paraId="4FEF10E0" w14:textId="77777777" w:rsidR="0047237A" w:rsidRDefault="008269B2" w:rsidP="002530D7">
      <w:pPr>
        <w:spacing w:after="0" w:line="240" w:lineRule="auto"/>
        <w:jc w:val="both"/>
      </w:pPr>
      <w:r w:rsidRPr="00AC13ED">
        <w:rPr>
          <w:bCs/>
        </w:rPr>
        <w:t xml:space="preserve">In </w:t>
      </w:r>
      <w:r>
        <w:rPr>
          <w:bCs/>
        </w:rPr>
        <w:t xml:space="preserve">May 2021, the Financial Services and Treasury Bureau </w:t>
      </w:r>
      <w:r w:rsidR="00682497">
        <w:rPr>
          <w:bCs/>
        </w:rPr>
        <w:t xml:space="preserve">(the </w:t>
      </w:r>
      <w:r w:rsidR="00682497" w:rsidRPr="00AC13ED">
        <w:rPr>
          <w:b/>
          <w:bCs/>
        </w:rPr>
        <w:t>FSTB</w:t>
      </w:r>
      <w:r w:rsidR="00682497">
        <w:rPr>
          <w:bCs/>
        </w:rPr>
        <w:t xml:space="preserve">) </w:t>
      </w:r>
      <w:r>
        <w:rPr>
          <w:bCs/>
        </w:rPr>
        <w:t xml:space="preserve">published consultation conclusions on proposals to require the licensing under the Anti-Money Laundering and Counter-Terrorist Financing Ordinance of operators of </w:t>
      </w:r>
      <w:proofErr w:type="spellStart"/>
      <w:r>
        <w:rPr>
          <w:bCs/>
        </w:rPr>
        <w:t>centralised</w:t>
      </w:r>
      <w:proofErr w:type="spellEnd"/>
      <w:r>
        <w:rPr>
          <w:bCs/>
        </w:rPr>
        <w:t xml:space="preserve"> virtual asset trading platforms as VASPs. When implemented, the new regime will require </w:t>
      </w:r>
      <w:r w:rsidR="007F4852">
        <w:rPr>
          <w:bCs/>
        </w:rPr>
        <w:t xml:space="preserve">exchanges providing trading in virtual assets which are not </w:t>
      </w:r>
      <w:r w:rsidR="008865F0">
        <w:rPr>
          <w:bCs/>
        </w:rPr>
        <w:t xml:space="preserve">subject to </w:t>
      </w:r>
      <w:r w:rsidR="007F4852">
        <w:rPr>
          <w:bCs/>
        </w:rPr>
        <w:t xml:space="preserve">the SFO licensing regime to apply to the SFC for a </w:t>
      </w:r>
      <w:proofErr w:type="spellStart"/>
      <w:r w:rsidR="007F4852">
        <w:rPr>
          <w:bCs/>
        </w:rPr>
        <w:t>licence</w:t>
      </w:r>
      <w:proofErr w:type="spellEnd"/>
      <w:r w:rsidR="007F4852">
        <w:rPr>
          <w:bCs/>
        </w:rPr>
        <w:t xml:space="preserve">. Operators of platforms already providing trading services will have 180 days to obtain the new </w:t>
      </w:r>
      <w:proofErr w:type="spellStart"/>
      <w:r w:rsidR="007F4852">
        <w:rPr>
          <w:bCs/>
        </w:rPr>
        <w:t>licence</w:t>
      </w:r>
      <w:proofErr w:type="spellEnd"/>
      <w:r w:rsidR="007F4852">
        <w:rPr>
          <w:bCs/>
        </w:rPr>
        <w:t xml:space="preserve">. The licensing regime will extend only to the operators of virtual asset exchanges and not to other types of VASPs such as custodians and crypto wallet providers. </w:t>
      </w:r>
      <w:r w:rsidR="009E0E2C">
        <w:rPr>
          <w:bCs/>
        </w:rPr>
        <w:t xml:space="preserve">The FSTB has said that the law drafting exercise would be commenced with a view to introducing the necessary legislation to the Legislative Council in 2022. </w:t>
      </w:r>
      <w:r w:rsidR="007F4852">
        <w:rPr>
          <w:bCs/>
        </w:rPr>
        <w:t xml:space="preserve">For further information on the proposed regime, please see </w:t>
      </w:r>
      <w:proofErr w:type="spellStart"/>
      <w:r w:rsidR="007F4852">
        <w:rPr>
          <w:bCs/>
        </w:rPr>
        <w:t>Charltons</w:t>
      </w:r>
      <w:proofErr w:type="spellEnd"/>
      <w:r w:rsidR="007F4852">
        <w:rPr>
          <w:bCs/>
        </w:rPr>
        <w:t>’ newsletter “</w:t>
      </w:r>
      <w:hyperlink r:id="rId14" w:history="1">
        <w:r w:rsidR="007F4852" w:rsidRPr="007F4852">
          <w:rPr>
            <w:rStyle w:val="a4"/>
            <w:bCs/>
          </w:rPr>
          <w:t>FSTB Concludes on Licensing Regime for Virtual Asset Exchanges</w:t>
        </w:r>
      </w:hyperlink>
      <w:r w:rsidR="007F4852">
        <w:rPr>
          <w:bCs/>
        </w:rPr>
        <w:t>”</w:t>
      </w:r>
      <w:r w:rsidR="007F4852">
        <w:rPr>
          <w:rStyle w:val="a7"/>
          <w:bCs/>
        </w:rPr>
        <w:footnoteReference w:id="6"/>
      </w:r>
      <w:r w:rsidR="009E0E2C">
        <w:rPr>
          <w:bCs/>
        </w:rPr>
        <w:t>.</w:t>
      </w:r>
    </w:p>
    <w:p w14:paraId="21673DEA" w14:textId="77777777" w:rsidR="0047237A" w:rsidRDefault="0047237A" w:rsidP="002530D7">
      <w:pPr>
        <w:spacing w:after="0" w:line="240" w:lineRule="auto"/>
        <w:jc w:val="both"/>
      </w:pPr>
    </w:p>
    <w:p w14:paraId="7E2D93A0" w14:textId="77777777" w:rsidR="0047237A" w:rsidRDefault="009E0E2C" w:rsidP="002530D7">
      <w:pPr>
        <w:spacing w:after="0" w:line="240" w:lineRule="auto"/>
        <w:jc w:val="both"/>
      </w:pPr>
      <w:r>
        <w:rPr>
          <w:bCs/>
        </w:rPr>
        <w:t xml:space="preserve">The HKMA notes in the Discussion Paper that various key functions involved in typical </w:t>
      </w:r>
      <w:proofErr w:type="spellStart"/>
      <w:r>
        <w:rPr>
          <w:bCs/>
        </w:rPr>
        <w:t>stablecoin</w:t>
      </w:r>
      <w:proofErr w:type="spellEnd"/>
      <w:r>
        <w:rPr>
          <w:bCs/>
        </w:rPr>
        <w:t xml:space="preserve"> arrangements may not be covered by the proposed VASP licensing regime. These functions include: (</w:t>
      </w:r>
      <w:proofErr w:type="spellStart"/>
      <w:r>
        <w:rPr>
          <w:bCs/>
        </w:rPr>
        <w:t>i</w:t>
      </w:r>
      <w:proofErr w:type="spellEnd"/>
      <w:r>
        <w:rPr>
          <w:bCs/>
        </w:rPr>
        <w:t xml:space="preserve">) the issue and redemption of tokens; (ii) transaction execution: (iii) token custody and operation; (iv) value </w:t>
      </w:r>
      <w:proofErr w:type="spellStart"/>
      <w:r>
        <w:rPr>
          <w:bCs/>
        </w:rPr>
        <w:t>stabilisation</w:t>
      </w:r>
      <w:proofErr w:type="spellEnd"/>
      <w:r>
        <w:rPr>
          <w:bCs/>
        </w:rPr>
        <w:t xml:space="preserve"> and reserve management; (v) transaction validation; and (vi) fund transmission. </w:t>
      </w:r>
    </w:p>
    <w:p w14:paraId="3585660C" w14:textId="77777777" w:rsidR="0047237A" w:rsidRDefault="0047237A" w:rsidP="002530D7">
      <w:pPr>
        <w:spacing w:after="0" w:line="240" w:lineRule="auto"/>
        <w:jc w:val="both"/>
      </w:pPr>
    </w:p>
    <w:p w14:paraId="36D4E59D" w14:textId="77777777" w:rsidR="0047237A" w:rsidRDefault="002F5E5F" w:rsidP="002530D7">
      <w:pPr>
        <w:spacing w:after="0" w:line="240" w:lineRule="auto"/>
        <w:jc w:val="both"/>
      </w:pPr>
      <w:r w:rsidRPr="00AC13ED">
        <w:rPr>
          <w:b/>
        </w:rPr>
        <w:t xml:space="preserve">HKMA Regulation of </w:t>
      </w:r>
      <w:r w:rsidR="009E0E2C" w:rsidRPr="00AC13ED">
        <w:rPr>
          <w:b/>
        </w:rPr>
        <w:t>Payment Systems and Stored Value Facilities</w:t>
      </w:r>
    </w:p>
    <w:p w14:paraId="207998FF" w14:textId="77777777" w:rsidR="0047237A" w:rsidRDefault="0047237A" w:rsidP="002530D7">
      <w:pPr>
        <w:spacing w:after="0" w:line="240" w:lineRule="auto"/>
        <w:jc w:val="both"/>
      </w:pPr>
    </w:p>
    <w:p w14:paraId="3D934D1A" w14:textId="77777777" w:rsidR="0047237A" w:rsidRDefault="002F5E5F" w:rsidP="002530D7">
      <w:pPr>
        <w:spacing w:after="0" w:line="240" w:lineRule="auto"/>
        <w:jc w:val="both"/>
      </w:pPr>
      <w:r w:rsidRPr="00AC13ED">
        <w:t xml:space="preserve">The </w:t>
      </w:r>
      <w:r>
        <w:t>HKMA regulates: (</w:t>
      </w:r>
      <w:proofErr w:type="spellStart"/>
      <w:r>
        <w:t>i</w:t>
      </w:r>
      <w:proofErr w:type="spellEnd"/>
      <w:r>
        <w:t xml:space="preserve">) stored value facilities, such as e-wallets and pre-paid cards; and (ii) clearing and settlement systems and retail payment systems under the </w:t>
      </w:r>
      <w:r w:rsidR="00A9785C">
        <w:t xml:space="preserve">Payment Systems and Stored Value Facilities Ordinance (Cap. 584) (the </w:t>
      </w:r>
      <w:r w:rsidR="00A9785C" w:rsidRPr="005009BE">
        <w:rPr>
          <w:b/>
          <w:bCs/>
        </w:rPr>
        <w:t>PSSVFO</w:t>
      </w:r>
      <w:r w:rsidR="00A9785C">
        <w:t>)</w:t>
      </w:r>
      <w:r>
        <w:t>.</w:t>
      </w:r>
    </w:p>
    <w:p w14:paraId="5701A434" w14:textId="77777777" w:rsidR="0047237A" w:rsidRDefault="0047237A" w:rsidP="002530D7">
      <w:pPr>
        <w:spacing w:after="0" w:line="240" w:lineRule="auto"/>
        <w:jc w:val="both"/>
      </w:pPr>
    </w:p>
    <w:p w14:paraId="239EAC2A" w14:textId="75053CD9" w:rsidR="009D51F6" w:rsidRDefault="002F5E5F" w:rsidP="002530D7">
      <w:pPr>
        <w:spacing w:line="240" w:lineRule="auto"/>
        <w:jc w:val="both"/>
      </w:pPr>
      <w:r>
        <w:t>Under the PSSVFO,</w:t>
      </w:r>
      <w:r w:rsidR="00A9785C">
        <w:t xml:space="preserve"> </w:t>
      </w:r>
      <w:r w:rsidR="00F15941">
        <w:t>a facility is a stored value facility if</w:t>
      </w:r>
      <w:r w:rsidR="009C67B8">
        <w:t>:</w:t>
      </w:r>
    </w:p>
    <w:p w14:paraId="193F96D6" w14:textId="65AD3038" w:rsidR="009C67B8" w:rsidRDefault="009C67B8" w:rsidP="002530D7">
      <w:pPr>
        <w:pStyle w:val="a3"/>
        <w:numPr>
          <w:ilvl w:val="0"/>
          <w:numId w:val="13"/>
        </w:numPr>
        <w:spacing w:line="240" w:lineRule="auto"/>
        <w:jc w:val="both"/>
      </w:pPr>
      <w:r>
        <w:t>the facility may be used for storing the value of an amount of money that</w:t>
      </w:r>
      <w:r w:rsidR="002F5E5F">
        <w:t>:</w:t>
      </w:r>
    </w:p>
    <w:p w14:paraId="378A4AF9" w14:textId="77777777" w:rsidR="002F5E5F" w:rsidRDefault="002F5E5F" w:rsidP="002530D7">
      <w:pPr>
        <w:pStyle w:val="a3"/>
        <w:spacing w:line="240" w:lineRule="auto"/>
        <w:jc w:val="both"/>
      </w:pPr>
    </w:p>
    <w:p w14:paraId="4F6B0FA1" w14:textId="77777777" w:rsidR="009C67B8" w:rsidRDefault="009C67B8" w:rsidP="002530D7">
      <w:pPr>
        <w:pStyle w:val="a3"/>
        <w:numPr>
          <w:ilvl w:val="0"/>
          <w:numId w:val="14"/>
        </w:numPr>
        <w:spacing w:line="240" w:lineRule="auto"/>
        <w:jc w:val="both"/>
      </w:pPr>
      <w:r>
        <w:t>is paid into the facility from time to time; and</w:t>
      </w:r>
    </w:p>
    <w:p w14:paraId="59437B7D" w14:textId="77777777" w:rsidR="002F5E5F" w:rsidRDefault="002F5E5F" w:rsidP="002530D7">
      <w:pPr>
        <w:pStyle w:val="a3"/>
        <w:spacing w:line="240" w:lineRule="auto"/>
        <w:ind w:left="1440"/>
        <w:jc w:val="both"/>
      </w:pPr>
    </w:p>
    <w:p w14:paraId="0CE548C0" w14:textId="77777777" w:rsidR="009C67B8" w:rsidRDefault="009C67B8" w:rsidP="002530D7">
      <w:pPr>
        <w:pStyle w:val="a3"/>
        <w:numPr>
          <w:ilvl w:val="0"/>
          <w:numId w:val="14"/>
        </w:numPr>
        <w:spacing w:line="240" w:lineRule="auto"/>
        <w:jc w:val="both"/>
      </w:pPr>
      <w:r>
        <w:t>may be stored on the facility under the rules of the facility;</w:t>
      </w:r>
      <w:r w:rsidR="00F15941">
        <w:t xml:space="preserve"> and</w:t>
      </w:r>
    </w:p>
    <w:p w14:paraId="53249529" w14:textId="77777777" w:rsidR="00B93365" w:rsidRDefault="00B93365" w:rsidP="002530D7">
      <w:pPr>
        <w:pStyle w:val="a3"/>
        <w:spacing w:line="240" w:lineRule="auto"/>
        <w:jc w:val="both"/>
      </w:pPr>
    </w:p>
    <w:p w14:paraId="3D7B3490" w14:textId="401FB2D4" w:rsidR="00766E44" w:rsidRDefault="00766E44" w:rsidP="002530D7">
      <w:pPr>
        <w:pStyle w:val="a3"/>
        <w:numPr>
          <w:ilvl w:val="0"/>
          <w:numId w:val="13"/>
        </w:numPr>
        <w:spacing w:line="240" w:lineRule="auto"/>
        <w:jc w:val="both"/>
      </w:pPr>
      <w:r>
        <w:t>the facility may be used for either or both of the following purposes</w:t>
      </w:r>
      <w:r w:rsidR="002F5E5F">
        <w:t>:</w:t>
      </w:r>
    </w:p>
    <w:p w14:paraId="3A9C5D04" w14:textId="77777777" w:rsidR="002F5E5F" w:rsidRDefault="002F5E5F" w:rsidP="002530D7">
      <w:pPr>
        <w:pStyle w:val="a3"/>
        <w:spacing w:line="240" w:lineRule="auto"/>
        <w:jc w:val="both"/>
      </w:pPr>
    </w:p>
    <w:p w14:paraId="1BA94117" w14:textId="6818C716" w:rsidR="00766E44" w:rsidRDefault="00766E44" w:rsidP="002530D7">
      <w:pPr>
        <w:pStyle w:val="a3"/>
        <w:numPr>
          <w:ilvl w:val="0"/>
          <w:numId w:val="15"/>
        </w:numPr>
        <w:spacing w:line="240" w:lineRule="auto"/>
        <w:jc w:val="both"/>
      </w:pPr>
      <w:r>
        <w:t>as a means of making payments for goods or services under an undertaking (express</w:t>
      </w:r>
      <w:r w:rsidR="00A8304A">
        <w:t xml:space="preserve"> or implied</w:t>
      </w:r>
      <w:r>
        <w:t xml:space="preserve">) </w:t>
      </w:r>
      <w:r w:rsidR="00A8304A">
        <w:t>given by the issuer</w:t>
      </w:r>
      <w:r w:rsidR="002F5E5F">
        <w:t xml:space="preserve"> of the facility</w:t>
      </w:r>
      <w:r w:rsidR="00A8304A">
        <w:t>;</w:t>
      </w:r>
    </w:p>
    <w:p w14:paraId="4732D2A4" w14:textId="77777777" w:rsidR="002F5E5F" w:rsidRDefault="002F5E5F" w:rsidP="002530D7">
      <w:pPr>
        <w:pStyle w:val="a3"/>
        <w:spacing w:line="240" w:lineRule="auto"/>
        <w:ind w:left="1440"/>
        <w:jc w:val="both"/>
      </w:pPr>
    </w:p>
    <w:p w14:paraId="03C7BBC4" w14:textId="6DE2C469" w:rsidR="00A8304A" w:rsidRDefault="00A8304A" w:rsidP="002530D7">
      <w:pPr>
        <w:pStyle w:val="a3"/>
        <w:numPr>
          <w:ilvl w:val="0"/>
          <w:numId w:val="15"/>
        </w:numPr>
        <w:spacing w:line="240" w:lineRule="auto"/>
        <w:jc w:val="both"/>
      </w:pPr>
      <w:r>
        <w:t>as a means of making payments to another person (other than payments mentioned in subparagraph (</w:t>
      </w:r>
      <w:proofErr w:type="spellStart"/>
      <w:r>
        <w:t>i</w:t>
      </w:r>
      <w:proofErr w:type="spellEnd"/>
      <w:r>
        <w:t xml:space="preserve">)) under an undertaking (express or implied) given by the issuer </w:t>
      </w:r>
      <w:r w:rsidR="002F5E5F">
        <w:t>of the facility</w:t>
      </w:r>
      <w:r w:rsidR="00661DAF">
        <w:t>.</w:t>
      </w:r>
    </w:p>
    <w:p w14:paraId="1B1F8B8E" w14:textId="77777777" w:rsidR="0047237A" w:rsidRDefault="00F15941" w:rsidP="002530D7">
      <w:pPr>
        <w:spacing w:after="0" w:line="240" w:lineRule="auto"/>
        <w:jc w:val="both"/>
      </w:pPr>
      <w:r>
        <w:lastRenderedPageBreak/>
        <w:t>A</w:t>
      </w:r>
      <w:r w:rsidR="005009BE">
        <w:t xml:space="preserve"> </w:t>
      </w:r>
      <w:proofErr w:type="spellStart"/>
      <w:r w:rsidR="005009BE">
        <w:t>stablecoin</w:t>
      </w:r>
      <w:proofErr w:type="spellEnd"/>
      <w:r w:rsidR="005009BE">
        <w:t xml:space="preserve"> or any other crypto-asset which </w:t>
      </w:r>
      <w:r w:rsidR="002F5E5F">
        <w:t>meet</w:t>
      </w:r>
      <w:r w:rsidR="005009BE">
        <w:t xml:space="preserve">s the above criteria and constitutes the issue of a stored value facility in Hong Kong </w:t>
      </w:r>
      <w:r w:rsidR="0049605E">
        <w:t xml:space="preserve">is </w:t>
      </w:r>
      <w:r w:rsidR="005009BE">
        <w:t xml:space="preserve">required to </w:t>
      </w:r>
      <w:r w:rsidR="00716080">
        <w:t xml:space="preserve">apply for a </w:t>
      </w:r>
      <w:proofErr w:type="spellStart"/>
      <w:r w:rsidR="00716080">
        <w:t>licence</w:t>
      </w:r>
      <w:proofErr w:type="spellEnd"/>
      <w:r w:rsidR="00716080">
        <w:t xml:space="preserve"> from the HKMA and comply with the PSSVFO and other requirements set out in the guidelines, practice notes and supervisory requirements issued by the HKMA for </w:t>
      </w:r>
      <w:r w:rsidR="00012770">
        <w:t>the purpose of licensing and ongoing supervision.</w:t>
      </w:r>
    </w:p>
    <w:p w14:paraId="24397E42" w14:textId="77777777" w:rsidR="0047237A" w:rsidRDefault="0047237A" w:rsidP="002530D7">
      <w:pPr>
        <w:spacing w:after="0" w:line="240" w:lineRule="auto"/>
        <w:jc w:val="both"/>
      </w:pPr>
    </w:p>
    <w:p w14:paraId="79745893" w14:textId="77777777" w:rsidR="0047237A" w:rsidRDefault="0049605E" w:rsidP="002530D7">
      <w:pPr>
        <w:spacing w:after="0" w:line="240" w:lineRule="auto"/>
        <w:jc w:val="both"/>
      </w:pPr>
      <w:r>
        <w:t>However, t</w:t>
      </w:r>
      <w:r w:rsidR="008360EF">
        <w:t xml:space="preserve">he </w:t>
      </w:r>
      <w:r w:rsidR="002F5E5F">
        <w:t xml:space="preserve">HKMA notes that the </w:t>
      </w:r>
      <w:r>
        <w:t>PSSVFO</w:t>
      </w:r>
      <w:r w:rsidR="002F5E5F">
        <w:t>’</w:t>
      </w:r>
      <w:r>
        <w:t xml:space="preserve">s </w:t>
      </w:r>
      <w:r w:rsidR="008360EF">
        <w:t xml:space="preserve">definition of stored value facility may not cover certain types of </w:t>
      </w:r>
      <w:proofErr w:type="spellStart"/>
      <w:r w:rsidR="008360EF">
        <w:t>stablecoins</w:t>
      </w:r>
      <w:proofErr w:type="spellEnd"/>
      <w:r w:rsidR="008360EF">
        <w:t xml:space="preserve"> and/or their activities in the market. </w:t>
      </w:r>
      <w:r w:rsidR="003156CF">
        <w:t>For a facility to be a stored value facility, t</w:t>
      </w:r>
      <w:r w:rsidR="006C1F0C">
        <w:t>he two limbs of</w:t>
      </w:r>
      <w:r w:rsidR="00F3215B">
        <w:t>:</w:t>
      </w:r>
      <w:r w:rsidR="003156CF">
        <w:t xml:space="preserve"> (</w:t>
      </w:r>
      <w:proofErr w:type="spellStart"/>
      <w:r w:rsidR="003156CF">
        <w:t>i</w:t>
      </w:r>
      <w:proofErr w:type="spellEnd"/>
      <w:r w:rsidR="003156CF">
        <w:t>)</w:t>
      </w:r>
      <w:r w:rsidR="006C1F0C">
        <w:t xml:space="preserve"> taking stored value by a facility issuer</w:t>
      </w:r>
      <w:r w:rsidR="00F3215B">
        <w:t>;</w:t>
      </w:r>
      <w:r w:rsidR="006C1F0C">
        <w:t xml:space="preserve"> and </w:t>
      </w:r>
      <w:r w:rsidR="003156CF">
        <w:t xml:space="preserve">(ii) </w:t>
      </w:r>
      <w:r w:rsidR="006C1F0C">
        <w:t>the same issuer giving</w:t>
      </w:r>
      <w:r w:rsidR="003156CF">
        <w:t xml:space="preserve"> an</w:t>
      </w:r>
      <w:r w:rsidR="006C1F0C">
        <w:t xml:space="preserve"> undertaking for making person-to-merchant or person-to-person payments using the stored value</w:t>
      </w:r>
      <w:r w:rsidR="003156CF">
        <w:t>,</w:t>
      </w:r>
      <w:r w:rsidR="006C1F0C">
        <w:t xml:space="preserve"> </w:t>
      </w:r>
      <w:r w:rsidR="003156CF">
        <w:t>must</w:t>
      </w:r>
      <w:r w:rsidR="006C1F0C">
        <w:t xml:space="preserve"> be satisfied. In a </w:t>
      </w:r>
      <w:proofErr w:type="spellStart"/>
      <w:r w:rsidR="006C1F0C">
        <w:t>stablecoin</w:t>
      </w:r>
      <w:proofErr w:type="spellEnd"/>
      <w:r w:rsidR="006C1F0C">
        <w:t xml:space="preserve"> arrangement, </w:t>
      </w:r>
      <w:r w:rsidR="00657E01">
        <w:t xml:space="preserve">different </w:t>
      </w:r>
      <w:r w:rsidR="002D3F92">
        <w:t xml:space="preserve">entities </w:t>
      </w:r>
      <w:r w:rsidR="00657E01">
        <w:t xml:space="preserve">may </w:t>
      </w:r>
      <w:r w:rsidR="00575BA3">
        <w:t xml:space="preserve">perform </w:t>
      </w:r>
      <w:r w:rsidR="00141F7D">
        <w:t xml:space="preserve">the </w:t>
      </w:r>
      <w:r w:rsidR="002D3F92">
        <w:t xml:space="preserve">respective functions of </w:t>
      </w:r>
      <w:proofErr w:type="spellStart"/>
      <w:r w:rsidR="002D3F92">
        <w:t>stablecoin</w:t>
      </w:r>
      <w:proofErr w:type="spellEnd"/>
      <w:r w:rsidR="002D3F92">
        <w:t xml:space="preserve"> issuance and wallet operations</w:t>
      </w:r>
      <w:r w:rsidR="00141F7D">
        <w:t>,</w:t>
      </w:r>
      <w:r w:rsidR="002D3F92">
        <w:t xml:space="preserve"> and </w:t>
      </w:r>
      <w:r w:rsidR="00DF54CF">
        <w:t xml:space="preserve">the issuer </w:t>
      </w:r>
      <w:r w:rsidR="00575BA3">
        <w:t xml:space="preserve">will not necessarily </w:t>
      </w:r>
      <w:r w:rsidR="00910CC4">
        <w:t xml:space="preserve">undertake to use the </w:t>
      </w:r>
      <w:proofErr w:type="spellStart"/>
      <w:r w:rsidR="00910CC4">
        <w:t>stablecoin</w:t>
      </w:r>
      <w:proofErr w:type="spellEnd"/>
      <w:r w:rsidR="00910CC4">
        <w:t xml:space="preserve"> as a means of payment for a third party. This may </w:t>
      </w:r>
      <w:r w:rsidR="00575BA3">
        <w:t xml:space="preserve">mean that a </w:t>
      </w:r>
      <w:proofErr w:type="spellStart"/>
      <w:r w:rsidR="007C485C">
        <w:t>stablecoin</w:t>
      </w:r>
      <w:proofErr w:type="spellEnd"/>
      <w:r w:rsidR="007C485C">
        <w:t xml:space="preserve"> arrangement fall</w:t>
      </w:r>
      <w:r w:rsidR="00575BA3">
        <w:t>s</w:t>
      </w:r>
      <w:r w:rsidR="007C485C">
        <w:t xml:space="preserve"> </w:t>
      </w:r>
      <w:r w:rsidR="00575BA3">
        <w:t xml:space="preserve">outside the scope of </w:t>
      </w:r>
      <w:r w:rsidR="007C485C">
        <w:t xml:space="preserve">the stored value facility </w:t>
      </w:r>
      <w:r w:rsidR="00575BA3">
        <w:t>licensing regime, notwithstanding that</w:t>
      </w:r>
      <w:r w:rsidR="007C485C">
        <w:t xml:space="preserve"> it operat</w:t>
      </w:r>
      <w:r w:rsidR="00575BA3">
        <w:t>es</w:t>
      </w:r>
      <w:r w:rsidR="007C485C">
        <w:t xml:space="preserve"> i</w:t>
      </w:r>
      <w:r w:rsidR="00575BA3">
        <w:t>n a manner</w:t>
      </w:r>
      <w:r w:rsidR="007C485C">
        <w:t xml:space="preserve"> very similar to </w:t>
      </w:r>
      <w:r w:rsidR="0018404A">
        <w:t>that of a stored value facility.</w:t>
      </w:r>
    </w:p>
    <w:p w14:paraId="7F76FC74" w14:textId="77777777" w:rsidR="0047237A" w:rsidRDefault="0047237A" w:rsidP="002530D7">
      <w:pPr>
        <w:spacing w:after="0" w:line="240" w:lineRule="auto"/>
        <w:jc w:val="both"/>
      </w:pPr>
    </w:p>
    <w:p w14:paraId="01BC9902" w14:textId="77777777" w:rsidR="0047237A" w:rsidRDefault="00032E44" w:rsidP="002530D7">
      <w:pPr>
        <w:spacing w:after="0" w:line="240" w:lineRule="auto"/>
        <w:jc w:val="both"/>
      </w:pPr>
      <w:r w:rsidRPr="00AC13ED">
        <w:rPr>
          <w:b/>
          <w:color w:val="FF0000"/>
        </w:rPr>
        <w:t xml:space="preserve">Rationale for </w:t>
      </w:r>
      <w:proofErr w:type="spellStart"/>
      <w:r w:rsidRPr="00AC13ED">
        <w:rPr>
          <w:b/>
          <w:color w:val="FF0000"/>
        </w:rPr>
        <w:t>Stablecoin</w:t>
      </w:r>
      <w:proofErr w:type="spellEnd"/>
      <w:r w:rsidRPr="00AC13ED">
        <w:rPr>
          <w:b/>
          <w:color w:val="FF0000"/>
        </w:rPr>
        <w:t xml:space="preserve"> Regulation</w:t>
      </w:r>
    </w:p>
    <w:p w14:paraId="3B46822C" w14:textId="77777777" w:rsidR="0047237A" w:rsidRDefault="0047237A" w:rsidP="002530D7">
      <w:pPr>
        <w:spacing w:after="0" w:line="240" w:lineRule="auto"/>
        <w:jc w:val="both"/>
      </w:pPr>
    </w:p>
    <w:p w14:paraId="44D87FA3" w14:textId="1AFC9E6B" w:rsidR="00982C56" w:rsidRDefault="00982C56" w:rsidP="002530D7">
      <w:pPr>
        <w:spacing w:line="240" w:lineRule="auto"/>
        <w:jc w:val="both"/>
      </w:pPr>
      <w:r>
        <w:t xml:space="preserve">The HKMA </w:t>
      </w:r>
      <w:r w:rsidR="0028601F">
        <w:t xml:space="preserve">discussion paper </w:t>
      </w:r>
      <w:r>
        <w:t xml:space="preserve">identifies seven </w:t>
      </w:r>
      <w:r w:rsidR="00B13ABA">
        <w:t xml:space="preserve">key </w:t>
      </w:r>
      <w:r>
        <w:t>risk</w:t>
      </w:r>
      <w:r w:rsidR="00B13ABA">
        <w:t xml:space="preserve">s </w:t>
      </w:r>
      <w:r>
        <w:t>relatin</w:t>
      </w:r>
      <w:r w:rsidR="0028601F">
        <w:t>g</w:t>
      </w:r>
      <w:r>
        <w:t xml:space="preserve"> to </w:t>
      </w:r>
      <w:proofErr w:type="spellStart"/>
      <w:r>
        <w:t>stablecoins</w:t>
      </w:r>
      <w:proofErr w:type="spellEnd"/>
      <w:r w:rsidR="0049605E">
        <w:t>:</w:t>
      </w:r>
    </w:p>
    <w:p w14:paraId="40A56AA7" w14:textId="201A3B0A" w:rsidR="00982C56" w:rsidRDefault="00982C56" w:rsidP="002530D7">
      <w:pPr>
        <w:pStyle w:val="a3"/>
        <w:numPr>
          <w:ilvl w:val="0"/>
          <w:numId w:val="16"/>
        </w:numPr>
        <w:spacing w:line="240" w:lineRule="auto"/>
        <w:jc w:val="both"/>
      </w:pPr>
      <w:r>
        <w:t>Financial stability risks</w:t>
      </w:r>
    </w:p>
    <w:p w14:paraId="24F96BBA" w14:textId="77777777" w:rsidR="0028601F" w:rsidRDefault="0028601F" w:rsidP="002530D7">
      <w:pPr>
        <w:pStyle w:val="a3"/>
        <w:spacing w:line="240" w:lineRule="auto"/>
        <w:ind w:left="1080"/>
        <w:jc w:val="both"/>
      </w:pPr>
    </w:p>
    <w:p w14:paraId="0FA676FF" w14:textId="2B6D0C75" w:rsidR="00982C56" w:rsidRDefault="00982C56" w:rsidP="002530D7">
      <w:pPr>
        <w:pStyle w:val="a3"/>
        <w:numPr>
          <w:ilvl w:val="1"/>
          <w:numId w:val="16"/>
        </w:numPr>
        <w:spacing w:line="240" w:lineRule="auto"/>
        <w:jc w:val="both"/>
      </w:pPr>
      <w:r>
        <w:t>Payment integrity</w:t>
      </w:r>
      <w:r w:rsidR="00A761F3">
        <w:t xml:space="preserve"> –</w:t>
      </w:r>
      <w:r w:rsidR="003345ED">
        <w:t xml:space="preserve"> </w:t>
      </w:r>
      <w:r w:rsidR="00FF6F86">
        <w:t xml:space="preserve">if </w:t>
      </w:r>
      <w:proofErr w:type="spellStart"/>
      <w:r w:rsidR="003345ED">
        <w:t>stablecoins</w:t>
      </w:r>
      <w:proofErr w:type="spellEnd"/>
      <w:r w:rsidR="003345ED">
        <w:t xml:space="preserve"> were to become widely used by individuals and businesses as a means of payment, operational disruptions or failures </w:t>
      </w:r>
      <w:r w:rsidR="0028601F">
        <w:t>relating to</w:t>
      </w:r>
      <w:r w:rsidR="003345ED">
        <w:t xml:space="preserve"> </w:t>
      </w:r>
      <w:proofErr w:type="spellStart"/>
      <w:r w:rsidR="00934633">
        <w:t>stablecoins</w:t>
      </w:r>
      <w:proofErr w:type="spellEnd"/>
      <w:r w:rsidR="00934633">
        <w:t xml:space="preserve"> </w:t>
      </w:r>
      <w:r w:rsidR="003345ED">
        <w:t xml:space="preserve">could </w:t>
      </w:r>
      <w:r w:rsidR="00934633">
        <w:t>significantly impact</w:t>
      </w:r>
      <w:r w:rsidR="003345ED">
        <w:t xml:space="preserve"> economic activity, normal functioning and public confidence in</w:t>
      </w:r>
      <w:r w:rsidR="00342836">
        <w:t xml:space="preserve"> the</w:t>
      </w:r>
      <w:r w:rsidR="003345ED">
        <w:t xml:space="preserve"> financial system.</w:t>
      </w:r>
    </w:p>
    <w:p w14:paraId="002FBF80" w14:textId="77777777" w:rsidR="0028601F" w:rsidRDefault="0028601F" w:rsidP="002530D7">
      <w:pPr>
        <w:pStyle w:val="a3"/>
        <w:spacing w:line="240" w:lineRule="auto"/>
        <w:ind w:left="1440"/>
        <w:jc w:val="both"/>
      </w:pPr>
    </w:p>
    <w:p w14:paraId="42D24114" w14:textId="69AA833F" w:rsidR="00982C56" w:rsidRDefault="00982C56" w:rsidP="002530D7">
      <w:pPr>
        <w:pStyle w:val="a3"/>
        <w:numPr>
          <w:ilvl w:val="1"/>
          <w:numId w:val="16"/>
        </w:numPr>
        <w:spacing w:line="240" w:lineRule="auto"/>
        <w:jc w:val="both"/>
      </w:pPr>
      <w:r>
        <w:t>Banking stability</w:t>
      </w:r>
      <w:r w:rsidR="00A761F3">
        <w:t xml:space="preserve"> –</w:t>
      </w:r>
      <w:r w:rsidR="00FF60D6">
        <w:t xml:space="preserve"> </w:t>
      </w:r>
      <w:r w:rsidR="00FF6F86">
        <w:t xml:space="preserve">if </w:t>
      </w:r>
      <w:r w:rsidR="00FF60D6">
        <w:t xml:space="preserve">financial institutions were to </w:t>
      </w:r>
      <w:r w:rsidR="0028601F">
        <w:t>increase</w:t>
      </w:r>
      <w:r w:rsidR="00F3215B">
        <w:t xml:space="preserve"> </w:t>
      </w:r>
      <w:r w:rsidR="00FF60D6">
        <w:t xml:space="preserve">their exposure to </w:t>
      </w:r>
      <w:proofErr w:type="spellStart"/>
      <w:r w:rsidR="00FF60D6">
        <w:t>stablecoins</w:t>
      </w:r>
      <w:proofErr w:type="spellEnd"/>
      <w:r w:rsidR="00FF60D6">
        <w:t xml:space="preserve">, and/or </w:t>
      </w:r>
      <w:r w:rsidR="0028601F">
        <w:t>adopt</w:t>
      </w:r>
      <w:r w:rsidR="00934633">
        <w:t xml:space="preserve"> multiple roles </w:t>
      </w:r>
      <w:r w:rsidR="005F0B05">
        <w:t>in the relevant ecosystem (</w:t>
      </w:r>
      <w:proofErr w:type="gramStart"/>
      <w:r w:rsidR="005F0B05">
        <w:t>e.g.</w:t>
      </w:r>
      <w:proofErr w:type="gramEnd"/>
      <w:r w:rsidR="005F0B05">
        <w:t xml:space="preserve"> acting as issuers or custodians), the integrity of the ecosystem and players might </w:t>
      </w:r>
      <w:r w:rsidR="0028601F">
        <w:t>affect</w:t>
      </w:r>
      <w:r w:rsidR="005F0B05">
        <w:t xml:space="preserve"> financial institutions’ financial health, business model and stable operation. </w:t>
      </w:r>
      <w:r w:rsidR="00934633">
        <w:t xml:space="preserve">A significant </w:t>
      </w:r>
      <w:r w:rsidR="005F0B05">
        <w:t xml:space="preserve">shift from bank deposits to funds </w:t>
      </w:r>
      <w:r w:rsidR="001979DC">
        <w:t xml:space="preserve">held in the form of </w:t>
      </w:r>
      <w:proofErr w:type="spellStart"/>
      <w:r w:rsidR="001979DC">
        <w:t>stablecoins</w:t>
      </w:r>
      <w:proofErr w:type="spellEnd"/>
      <w:r w:rsidR="001979DC">
        <w:t xml:space="preserve"> could affect banking stability.</w:t>
      </w:r>
    </w:p>
    <w:p w14:paraId="17178339" w14:textId="77777777" w:rsidR="0028601F" w:rsidRDefault="0028601F" w:rsidP="002530D7">
      <w:pPr>
        <w:pStyle w:val="a3"/>
        <w:spacing w:line="240" w:lineRule="auto"/>
        <w:ind w:left="1440"/>
        <w:jc w:val="both"/>
      </w:pPr>
    </w:p>
    <w:p w14:paraId="7C11D33B" w14:textId="5B2E07B4" w:rsidR="00982C56" w:rsidRDefault="00934633" w:rsidP="002530D7">
      <w:pPr>
        <w:pStyle w:val="a3"/>
        <w:numPr>
          <w:ilvl w:val="0"/>
          <w:numId w:val="16"/>
        </w:numPr>
        <w:spacing w:line="240" w:lineRule="auto"/>
        <w:jc w:val="both"/>
      </w:pPr>
      <w:r>
        <w:t xml:space="preserve">Monetary </w:t>
      </w:r>
      <w:r w:rsidR="001979DC">
        <w:t>stability risks</w:t>
      </w:r>
    </w:p>
    <w:p w14:paraId="52E1811C" w14:textId="77777777" w:rsidR="0028601F" w:rsidRDefault="0028601F" w:rsidP="002530D7">
      <w:pPr>
        <w:pStyle w:val="a3"/>
        <w:spacing w:line="240" w:lineRule="auto"/>
        <w:ind w:left="1080"/>
        <w:jc w:val="both"/>
      </w:pPr>
    </w:p>
    <w:p w14:paraId="3022E09F" w14:textId="48FCC9C7" w:rsidR="001979DC" w:rsidRDefault="001979DC" w:rsidP="002530D7">
      <w:pPr>
        <w:pStyle w:val="a3"/>
        <w:numPr>
          <w:ilvl w:val="1"/>
          <w:numId w:val="16"/>
        </w:numPr>
        <w:spacing w:line="240" w:lineRule="auto"/>
        <w:jc w:val="both"/>
      </w:pPr>
      <w:r>
        <w:t>Currency substitution</w:t>
      </w:r>
      <w:r w:rsidR="00A761F3">
        <w:t xml:space="preserve"> –</w:t>
      </w:r>
      <w:r>
        <w:t xml:space="preserve"> </w:t>
      </w:r>
      <w:proofErr w:type="spellStart"/>
      <w:r w:rsidR="00FF6F86">
        <w:t>stablecoins</w:t>
      </w:r>
      <w:proofErr w:type="spellEnd"/>
      <w:r w:rsidR="00FF6F86">
        <w:t xml:space="preserve"> </w:t>
      </w:r>
      <w:r w:rsidR="008A18BF">
        <w:t>which are pegg</w:t>
      </w:r>
      <w:r w:rsidR="00FC115F">
        <w:t>ed</w:t>
      </w:r>
      <w:r w:rsidR="008A18BF">
        <w:t xml:space="preserve"> to a single or a basket of fiat currencies might </w:t>
      </w:r>
      <w:r w:rsidR="0028601F">
        <w:t xml:space="preserve">come to </w:t>
      </w:r>
      <w:r w:rsidR="008A18BF">
        <w:t>replace certain fiat currencies</w:t>
      </w:r>
      <w:r w:rsidR="00FC115F">
        <w:t>,</w:t>
      </w:r>
      <w:r w:rsidR="008A18BF">
        <w:t xml:space="preserve"> particularly in jurisdictions where the </w:t>
      </w:r>
      <w:r w:rsidR="00FC115F">
        <w:t xml:space="preserve">domestic </w:t>
      </w:r>
      <w:r w:rsidR="008A18BF">
        <w:t xml:space="preserve">currency is </w:t>
      </w:r>
      <w:r w:rsidR="0028601F">
        <w:t xml:space="preserve">volatile </w:t>
      </w:r>
      <w:r w:rsidR="008A18BF">
        <w:t xml:space="preserve">and payment </w:t>
      </w:r>
      <w:r w:rsidR="00FC115F">
        <w:t>infrastructure</w:t>
      </w:r>
      <w:r w:rsidR="0028601F">
        <w:t>s</w:t>
      </w:r>
      <w:r w:rsidR="00FC115F">
        <w:t xml:space="preserve"> </w:t>
      </w:r>
      <w:r w:rsidR="0028601F">
        <w:t xml:space="preserve">are </w:t>
      </w:r>
      <w:r w:rsidR="008A18BF">
        <w:t>underdeveloped.</w:t>
      </w:r>
    </w:p>
    <w:p w14:paraId="450FF83F" w14:textId="77777777" w:rsidR="0028601F" w:rsidRDefault="0028601F" w:rsidP="002530D7">
      <w:pPr>
        <w:pStyle w:val="a3"/>
        <w:spacing w:line="240" w:lineRule="auto"/>
        <w:ind w:left="1440"/>
        <w:jc w:val="both"/>
      </w:pPr>
    </w:p>
    <w:p w14:paraId="10B3637A" w14:textId="3E513233" w:rsidR="008A18BF" w:rsidRDefault="008A18BF" w:rsidP="002530D7">
      <w:pPr>
        <w:pStyle w:val="a3"/>
        <w:numPr>
          <w:ilvl w:val="1"/>
          <w:numId w:val="16"/>
        </w:numPr>
        <w:spacing w:line="240" w:lineRule="auto"/>
        <w:jc w:val="both"/>
      </w:pPr>
      <w:r>
        <w:t>Monetary policy transmission mechanism</w:t>
      </w:r>
      <w:r w:rsidR="00CE1FF1">
        <w:t xml:space="preserve"> –</w:t>
      </w:r>
      <w:r>
        <w:t xml:space="preserve"> </w:t>
      </w:r>
      <w:r w:rsidR="00342836">
        <w:t xml:space="preserve">the </w:t>
      </w:r>
      <w:r w:rsidR="00764E8C">
        <w:t xml:space="preserve">issuance and redemption of </w:t>
      </w:r>
      <w:r w:rsidR="00CE1FF1">
        <w:t>Hong Kong dollar</w:t>
      </w:r>
      <w:r w:rsidR="00764E8C">
        <w:t xml:space="preserve">-backed </w:t>
      </w:r>
      <w:proofErr w:type="spellStart"/>
      <w:r w:rsidR="00764E8C">
        <w:t>stablecoins</w:t>
      </w:r>
      <w:proofErr w:type="spellEnd"/>
      <w:r w:rsidR="00764E8C">
        <w:t xml:space="preserve"> may affect int</w:t>
      </w:r>
      <w:r w:rsidR="008D5FCC">
        <w:t>erbank</w:t>
      </w:r>
      <w:r w:rsidR="00CE1FF1">
        <w:t xml:space="preserve"> Hong Kong dollar</w:t>
      </w:r>
      <w:r w:rsidR="008D5FCC">
        <w:t xml:space="preserve"> demand and supply. If there </w:t>
      </w:r>
      <w:r w:rsidR="00CE1FF1">
        <w:t xml:space="preserve">are </w:t>
      </w:r>
      <w:r w:rsidR="008D5FCC">
        <w:t>rapid and massive redemption</w:t>
      </w:r>
      <w:r w:rsidR="00CE1FF1">
        <w:t>s</w:t>
      </w:r>
      <w:r w:rsidR="008D5FCC">
        <w:t xml:space="preserve"> of </w:t>
      </w:r>
      <w:proofErr w:type="spellStart"/>
      <w:r w:rsidR="008D5FCC">
        <w:t>stablecoins</w:t>
      </w:r>
      <w:proofErr w:type="spellEnd"/>
      <w:r w:rsidR="008D5FCC">
        <w:t xml:space="preserve"> for a foreign currency, the </w:t>
      </w:r>
      <w:proofErr w:type="spellStart"/>
      <w:r w:rsidR="008D5FCC">
        <w:t>stablecoin</w:t>
      </w:r>
      <w:proofErr w:type="spellEnd"/>
      <w:r w:rsidR="008D5FCC">
        <w:t xml:space="preserve"> operators may have to sell the backed </w:t>
      </w:r>
      <w:r w:rsidR="00CE1FF1">
        <w:t>Hong Kong dollar</w:t>
      </w:r>
      <w:r w:rsidR="008D5FCC">
        <w:t xml:space="preserve"> against the foreign currency to </w:t>
      </w:r>
      <w:r w:rsidR="00EE4C77">
        <w:t>satisfy</w:t>
      </w:r>
      <w:r w:rsidR="00CE1FF1">
        <w:t xml:space="preserve"> </w:t>
      </w:r>
      <w:r w:rsidR="008D5FCC">
        <w:t>redemption requests.</w:t>
      </w:r>
    </w:p>
    <w:p w14:paraId="4CFC09F3" w14:textId="77777777" w:rsidR="0028601F" w:rsidRDefault="0028601F" w:rsidP="002530D7">
      <w:pPr>
        <w:pStyle w:val="a3"/>
        <w:spacing w:line="240" w:lineRule="auto"/>
        <w:ind w:left="1440"/>
        <w:jc w:val="both"/>
      </w:pPr>
    </w:p>
    <w:p w14:paraId="7C1685D1" w14:textId="77777777" w:rsidR="0028601F" w:rsidRDefault="008D5FCC" w:rsidP="002530D7">
      <w:pPr>
        <w:pStyle w:val="a3"/>
        <w:numPr>
          <w:ilvl w:val="0"/>
          <w:numId w:val="16"/>
        </w:numPr>
        <w:spacing w:line="240" w:lineRule="auto"/>
        <w:jc w:val="both"/>
      </w:pPr>
      <w:r>
        <w:t>Settlement risks</w:t>
      </w:r>
    </w:p>
    <w:p w14:paraId="56092863" w14:textId="77777777" w:rsidR="00EE020B" w:rsidRDefault="00EE020B" w:rsidP="002530D7">
      <w:pPr>
        <w:pStyle w:val="a3"/>
        <w:spacing w:line="240" w:lineRule="auto"/>
        <w:ind w:left="1080"/>
        <w:jc w:val="both"/>
      </w:pPr>
    </w:p>
    <w:p w14:paraId="385F5002" w14:textId="09B22DFF" w:rsidR="008D5FCC" w:rsidRDefault="00426404" w:rsidP="002530D7">
      <w:pPr>
        <w:pStyle w:val="a3"/>
        <w:spacing w:line="240" w:lineRule="auto"/>
        <w:ind w:left="1080"/>
        <w:jc w:val="both"/>
      </w:pPr>
      <w:r>
        <w:t>Settlement finality</w:t>
      </w:r>
      <w:r w:rsidR="00A761F3">
        <w:t xml:space="preserve"> –</w:t>
      </w:r>
      <w:r>
        <w:t xml:space="preserve"> “</w:t>
      </w:r>
      <w:r w:rsidR="00FF6F86">
        <w:t>forks</w:t>
      </w:r>
      <w:r w:rsidR="00454819">
        <w:t xml:space="preserve">” in a </w:t>
      </w:r>
      <w:proofErr w:type="spellStart"/>
      <w:r w:rsidR="00454819">
        <w:t>stablecoin</w:t>
      </w:r>
      <w:proofErr w:type="spellEnd"/>
      <w:r w:rsidR="00454819">
        <w:t xml:space="preserve"> arrangement may reverse technical settlement and lead to a misalignment with legal finality.</w:t>
      </w:r>
    </w:p>
    <w:p w14:paraId="3B8D21BC" w14:textId="77777777" w:rsidR="0078065E" w:rsidRDefault="0078065E" w:rsidP="002530D7">
      <w:pPr>
        <w:pStyle w:val="a3"/>
        <w:spacing w:line="240" w:lineRule="auto"/>
        <w:ind w:left="1440"/>
        <w:jc w:val="both"/>
      </w:pPr>
    </w:p>
    <w:p w14:paraId="30540E4D" w14:textId="77777777" w:rsidR="00032E44" w:rsidRDefault="00454819" w:rsidP="002530D7">
      <w:pPr>
        <w:pStyle w:val="a3"/>
        <w:numPr>
          <w:ilvl w:val="0"/>
          <w:numId w:val="16"/>
        </w:numPr>
        <w:spacing w:line="240" w:lineRule="auto"/>
        <w:jc w:val="both"/>
      </w:pPr>
      <w:r>
        <w:t>User protection</w:t>
      </w:r>
    </w:p>
    <w:p w14:paraId="23B5741F" w14:textId="139B3302" w:rsidR="008D5FCC" w:rsidRDefault="008D5FCC" w:rsidP="002530D7">
      <w:pPr>
        <w:pStyle w:val="a3"/>
        <w:spacing w:line="240" w:lineRule="auto"/>
        <w:ind w:left="1080"/>
        <w:jc w:val="both"/>
      </w:pPr>
    </w:p>
    <w:p w14:paraId="03347C11" w14:textId="08B86752" w:rsidR="000035A4" w:rsidRDefault="00454819" w:rsidP="002530D7">
      <w:pPr>
        <w:pStyle w:val="a3"/>
        <w:numPr>
          <w:ilvl w:val="1"/>
          <w:numId w:val="16"/>
        </w:numPr>
        <w:spacing w:line="240" w:lineRule="auto"/>
        <w:jc w:val="both"/>
      </w:pPr>
      <w:r>
        <w:t>Recourse</w:t>
      </w:r>
      <w:r w:rsidR="00A761F3">
        <w:t xml:space="preserve"> – </w:t>
      </w:r>
      <w:r w:rsidR="00FF6F86">
        <w:t xml:space="preserve">users </w:t>
      </w:r>
      <w:r w:rsidR="00946968">
        <w:t>could</w:t>
      </w:r>
      <w:r w:rsidR="000035A4">
        <w:t xml:space="preserve"> suffer losses from operation disruptions or failures of a </w:t>
      </w:r>
      <w:proofErr w:type="spellStart"/>
      <w:r w:rsidR="000035A4">
        <w:t>stablecoin</w:t>
      </w:r>
      <w:proofErr w:type="spellEnd"/>
      <w:r w:rsidR="000035A4">
        <w:t xml:space="preserve"> arrangement with li</w:t>
      </w:r>
      <w:r w:rsidR="00FD49F1">
        <w:t>ttle or no</w:t>
      </w:r>
      <w:r w:rsidR="000035A4">
        <w:t xml:space="preserve"> resource unless the recourse mechanism is legally stipulated.</w:t>
      </w:r>
    </w:p>
    <w:p w14:paraId="0F885180" w14:textId="77777777" w:rsidR="00FD49F1" w:rsidRDefault="00FD49F1" w:rsidP="002530D7">
      <w:pPr>
        <w:pStyle w:val="a3"/>
        <w:spacing w:line="240" w:lineRule="auto"/>
        <w:ind w:left="1440"/>
        <w:jc w:val="both"/>
      </w:pPr>
    </w:p>
    <w:p w14:paraId="7BAB4D40" w14:textId="316F1FF8" w:rsidR="000035A4" w:rsidRDefault="000035A4" w:rsidP="002530D7">
      <w:pPr>
        <w:pStyle w:val="a3"/>
        <w:numPr>
          <w:ilvl w:val="1"/>
          <w:numId w:val="16"/>
        </w:numPr>
        <w:spacing w:line="240" w:lineRule="auto"/>
        <w:jc w:val="both"/>
      </w:pPr>
      <w:r>
        <w:t>Information adequacy</w:t>
      </w:r>
      <w:r w:rsidR="00A761F3">
        <w:t xml:space="preserve"> –</w:t>
      </w:r>
      <w:r>
        <w:t xml:space="preserve"> </w:t>
      </w:r>
      <w:r w:rsidR="002B6D55">
        <w:t>users may not fully understand the risks associated with</w:t>
      </w:r>
      <w:r w:rsidR="00FD49F1">
        <w:t xml:space="preserve"> </w:t>
      </w:r>
      <w:proofErr w:type="spellStart"/>
      <w:r w:rsidR="00FD49F1">
        <w:t>stablecoins</w:t>
      </w:r>
      <w:proofErr w:type="spellEnd"/>
      <w:r w:rsidR="00FD49F1">
        <w:t xml:space="preserve"> given their complexity and novelty</w:t>
      </w:r>
      <w:r w:rsidR="002B6D55">
        <w:t>.</w:t>
      </w:r>
    </w:p>
    <w:p w14:paraId="75BF9877" w14:textId="77777777" w:rsidR="00FD49F1" w:rsidRDefault="00FD49F1" w:rsidP="002530D7">
      <w:pPr>
        <w:pStyle w:val="a3"/>
        <w:spacing w:line="240" w:lineRule="auto"/>
        <w:ind w:left="1440"/>
        <w:jc w:val="both"/>
      </w:pPr>
    </w:p>
    <w:p w14:paraId="52491620" w14:textId="77777777" w:rsidR="00FD49F1" w:rsidRDefault="002B6D55" w:rsidP="002530D7">
      <w:pPr>
        <w:pStyle w:val="a3"/>
        <w:numPr>
          <w:ilvl w:val="0"/>
          <w:numId w:val="16"/>
        </w:numPr>
        <w:spacing w:line="240" w:lineRule="auto"/>
        <w:jc w:val="both"/>
      </w:pPr>
      <w:r>
        <w:t>Financial crime and cybersecurity risks</w:t>
      </w:r>
    </w:p>
    <w:p w14:paraId="08D6E738" w14:textId="77777777" w:rsidR="00FD49F1" w:rsidRDefault="00FD49F1" w:rsidP="002530D7">
      <w:pPr>
        <w:pStyle w:val="a3"/>
        <w:spacing w:line="240" w:lineRule="auto"/>
        <w:ind w:left="1080"/>
        <w:jc w:val="both"/>
      </w:pPr>
    </w:p>
    <w:p w14:paraId="3770F82E" w14:textId="339F1B47" w:rsidR="002B6D55" w:rsidRDefault="002B6D55" w:rsidP="002530D7">
      <w:pPr>
        <w:pStyle w:val="a3"/>
        <w:spacing w:line="240" w:lineRule="auto"/>
        <w:ind w:left="1080"/>
        <w:jc w:val="both"/>
      </w:pPr>
      <w:r>
        <w:t>Money laundering/terrorist financing (</w:t>
      </w:r>
      <w:r w:rsidRPr="00FD49F1">
        <w:rPr>
          <w:b/>
          <w:bCs/>
        </w:rPr>
        <w:t>ML/TF</w:t>
      </w:r>
      <w:r>
        <w:t>) and other illicit activities</w:t>
      </w:r>
      <w:r w:rsidR="00A14402">
        <w:t xml:space="preserve"> –</w:t>
      </w:r>
      <w:r w:rsidR="00FF6F86">
        <w:t xml:space="preserve"> </w:t>
      </w:r>
      <w:proofErr w:type="spellStart"/>
      <w:r w:rsidR="00FF6F86">
        <w:t>stablecoins</w:t>
      </w:r>
      <w:proofErr w:type="spellEnd"/>
      <w:r w:rsidR="00FF6F86">
        <w:t xml:space="preserve"> </w:t>
      </w:r>
      <w:r w:rsidR="00221D71">
        <w:t xml:space="preserve">may be </w:t>
      </w:r>
      <w:r w:rsidR="00FD49F1">
        <w:t xml:space="preserve">the </w:t>
      </w:r>
      <w:r w:rsidR="00221D71">
        <w:t xml:space="preserve">means of payment demanded in ransomware attacks, posing risks to both </w:t>
      </w:r>
      <w:r w:rsidR="00E4467A">
        <w:t>users and the broader society.</w:t>
      </w:r>
      <w:r w:rsidR="00FD49F1">
        <w:t xml:space="preserve"> </w:t>
      </w:r>
    </w:p>
    <w:p w14:paraId="03EDD654" w14:textId="77777777" w:rsidR="00FD49F1" w:rsidRDefault="00FD49F1" w:rsidP="002530D7">
      <w:pPr>
        <w:pStyle w:val="a3"/>
        <w:spacing w:line="240" w:lineRule="auto"/>
        <w:ind w:left="1080"/>
        <w:jc w:val="both"/>
      </w:pPr>
    </w:p>
    <w:p w14:paraId="56441148" w14:textId="77777777" w:rsidR="00FD49F1" w:rsidRDefault="00E4467A" w:rsidP="002530D7">
      <w:pPr>
        <w:pStyle w:val="a3"/>
        <w:numPr>
          <w:ilvl w:val="0"/>
          <w:numId w:val="16"/>
        </w:numPr>
        <w:spacing w:line="240" w:lineRule="auto"/>
        <w:jc w:val="both"/>
      </w:pPr>
      <w:r>
        <w:t>International compliance</w:t>
      </w:r>
    </w:p>
    <w:p w14:paraId="21C2A3BF" w14:textId="77777777" w:rsidR="00FD49F1" w:rsidRDefault="00FD49F1" w:rsidP="002530D7">
      <w:pPr>
        <w:pStyle w:val="a3"/>
        <w:spacing w:line="240" w:lineRule="auto"/>
        <w:ind w:left="1080"/>
        <w:jc w:val="both"/>
      </w:pPr>
    </w:p>
    <w:p w14:paraId="4310ACB4" w14:textId="02C2FC77" w:rsidR="00E4467A" w:rsidRDefault="00FD49F1" w:rsidP="002530D7">
      <w:pPr>
        <w:pStyle w:val="a3"/>
        <w:spacing w:line="240" w:lineRule="auto"/>
        <w:ind w:left="1080"/>
        <w:jc w:val="both"/>
      </w:pPr>
      <w:r>
        <w:t xml:space="preserve">As an international financial </w:t>
      </w:r>
      <w:proofErr w:type="spellStart"/>
      <w:r>
        <w:t>centre</w:t>
      </w:r>
      <w:proofErr w:type="spellEnd"/>
      <w:r>
        <w:t>, Hong Kong is obliged to c</w:t>
      </w:r>
      <w:r w:rsidR="00E4467A">
        <w:t>ompl</w:t>
      </w:r>
      <w:r>
        <w:t>y</w:t>
      </w:r>
      <w:r w:rsidR="00E4467A">
        <w:t xml:space="preserve"> with </w:t>
      </w:r>
      <w:r>
        <w:t xml:space="preserve">internationally agreed </w:t>
      </w:r>
      <w:r w:rsidR="00E4467A">
        <w:t>standards and best practices</w:t>
      </w:r>
      <w:r>
        <w:t xml:space="preserve"> where appropriate.</w:t>
      </w:r>
    </w:p>
    <w:p w14:paraId="71BE58D1" w14:textId="77777777" w:rsidR="00FD49F1" w:rsidRDefault="00FD49F1" w:rsidP="002530D7">
      <w:pPr>
        <w:pStyle w:val="a3"/>
        <w:spacing w:line="240" w:lineRule="auto"/>
        <w:ind w:left="1080"/>
        <w:jc w:val="both"/>
      </w:pPr>
    </w:p>
    <w:p w14:paraId="2E624B8E" w14:textId="0D5C092C" w:rsidR="00E4467A" w:rsidRDefault="00E4467A" w:rsidP="002530D7">
      <w:pPr>
        <w:pStyle w:val="a3"/>
        <w:numPr>
          <w:ilvl w:val="0"/>
          <w:numId w:val="16"/>
        </w:numPr>
        <w:spacing w:line="240" w:lineRule="auto"/>
        <w:jc w:val="both"/>
      </w:pPr>
      <w:r>
        <w:t>Regulatory arbitrage</w:t>
      </w:r>
    </w:p>
    <w:p w14:paraId="0BF9435B" w14:textId="1DE04435" w:rsidR="00E4467A" w:rsidRDefault="00E4467A" w:rsidP="002530D7">
      <w:pPr>
        <w:spacing w:line="240" w:lineRule="auto"/>
        <w:ind w:left="1080"/>
        <w:jc w:val="both"/>
      </w:pPr>
      <w:r>
        <w:t xml:space="preserve">Need to </w:t>
      </w:r>
      <w:r w:rsidR="00154E10">
        <w:t xml:space="preserve">update </w:t>
      </w:r>
      <w:r w:rsidR="00AB6973">
        <w:t>the HKMA’s regulatory regime</w:t>
      </w:r>
      <w:r w:rsidR="00154E10">
        <w:t xml:space="preserve"> –</w:t>
      </w:r>
      <w:r w:rsidR="00AB6973">
        <w:t xml:space="preserve"> </w:t>
      </w:r>
      <w:r w:rsidR="00154E10">
        <w:t xml:space="preserve">an </w:t>
      </w:r>
      <w:r w:rsidR="00AB6973">
        <w:t xml:space="preserve">update to the HKMA’s regulatory framework is needed </w:t>
      </w:r>
      <w:r w:rsidR="001B21B1">
        <w:t>to prevent Hong Kong from becoming a safe haven for crypto-assets owing to under-regulation.</w:t>
      </w:r>
    </w:p>
    <w:p w14:paraId="4FAC1228" w14:textId="77777777" w:rsidR="0047237A" w:rsidRDefault="0047237A" w:rsidP="002530D7">
      <w:pPr>
        <w:spacing w:line="240" w:lineRule="auto"/>
        <w:jc w:val="both"/>
        <w:rPr>
          <w:b/>
          <w:bCs/>
          <w:color w:val="FF0000"/>
        </w:rPr>
      </w:pPr>
    </w:p>
    <w:p w14:paraId="45DA207B" w14:textId="77777777" w:rsidR="0047237A" w:rsidRDefault="00EE020B" w:rsidP="002530D7">
      <w:pPr>
        <w:spacing w:after="0" w:line="240" w:lineRule="auto"/>
        <w:jc w:val="both"/>
      </w:pPr>
      <w:r>
        <w:rPr>
          <w:b/>
          <w:bCs/>
          <w:color w:val="FF0000"/>
        </w:rPr>
        <w:t xml:space="preserve">HKMA’s </w:t>
      </w:r>
      <w:r w:rsidR="001B3A0A" w:rsidRPr="001B3A0A">
        <w:rPr>
          <w:b/>
          <w:bCs/>
          <w:color w:val="FF0000"/>
        </w:rPr>
        <w:t>Policy Objectives and Principles</w:t>
      </w:r>
    </w:p>
    <w:p w14:paraId="5C1CE8E5" w14:textId="77777777" w:rsidR="0047237A" w:rsidRDefault="0047237A" w:rsidP="002530D7">
      <w:pPr>
        <w:spacing w:after="0" w:line="240" w:lineRule="auto"/>
        <w:jc w:val="both"/>
      </w:pPr>
    </w:p>
    <w:p w14:paraId="73BB68B5" w14:textId="5C1F8DB4" w:rsidR="003546DA" w:rsidRDefault="0041341D" w:rsidP="002530D7">
      <w:pPr>
        <w:spacing w:line="240" w:lineRule="auto"/>
        <w:jc w:val="both"/>
      </w:pPr>
      <w:r>
        <w:t xml:space="preserve">Given </w:t>
      </w:r>
      <w:r w:rsidR="001B21B1">
        <w:t xml:space="preserve">the risks, the HKMA </w:t>
      </w:r>
      <w:r>
        <w:t>sees</w:t>
      </w:r>
      <w:r w:rsidR="003546DA">
        <w:t xml:space="preserve"> a need for an appropriate regulatory framework for </w:t>
      </w:r>
      <w:proofErr w:type="spellStart"/>
      <w:r w:rsidR="003546DA">
        <w:t>stablecoins</w:t>
      </w:r>
      <w:proofErr w:type="spellEnd"/>
      <w:r w:rsidR="00085DD6">
        <w:t>, the objectives of which would be m</w:t>
      </w:r>
      <w:r w:rsidR="003546DA">
        <w:t>aintaining monetary and financial stability</w:t>
      </w:r>
      <w:r w:rsidR="00085DD6">
        <w:t xml:space="preserve">, ensuring investor protection and </w:t>
      </w:r>
      <w:proofErr w:type="spellStart"/>
      <w:r w:rsidR="00085DD6">
        <w:t>m</w:t>
      </w:r>
      <w:r w:rsidR="003546DA">
        <w:t>inimising</w:t>
      </w:r>
      <w:proofErr w:type="spellEnd"/>
      <w:r w:rsidR="003546DA">
        <w:t xml:space="preserve"> </w:t>
      </w:r>
      <w:r w:rsidR="00702E8F">
        <w:t xml:space="preserve">the </w:t>
      </w:r>
      <w:r w:rsidR="003546DA">
        <w:t>risk of regulatory arbitrage</w:t>
      </w:r>
      <w:r w:rsidR="00FF6F86">
        <w:t>.</w:t>
      </w:r>
      <w:r>
        <w:t xml:space="preserve"> </w:t>
      </w:r>
      <w:r w:rsidR="00F3215B">
        <w:t>The regulatory regime would adopt</w:t>
      </w:r>
      <w:r>
        <w:t xml:space="preserve">: </w:t>
      </w:r>
    </w:p>
    <w:p w14:paraId="3E37802B" w14:textId="166BD983" w:rsidR="003546DA" w:rsidRDefault="0041341D" w:rsidP="002530D7">
      <w:pPr>
        <w:pStyle w:val="a3"/>
        <w:numPr>
          <w:ilvl w:val="0"/>
          <w:numId w:val="19"/>
        </w:numPr>
        <w:spacing w:line="240" w:lineRule="auto"/>
        <w:ind w:left="993" w:hanging="567"/>
        <w:jc w:val="both"/>
      </w:pPr>
      <w:r>
        <w:t>an a</w:t>
      </w:r>
      <w:r w:rsidR="003546DA">
        <w:t>gile regulatory approach</w:t>
      </w:r>
      <w:r w:rsidR="0065761F">
        <w:t xml:space="preserve"> </w:t>
      </w:r>
      <w:r>
        <w:t xml:space="preserve">to </w:t>
      </w:r>
      <w:r w:rsidR="00911232">
        <w:t>ensur</w:t>
      </w:r>
      <w:r>
        <w:t xml:space="preserve">e </w:t>
      </w:r>
      <w:r w:rsidR="00911232">
        <w:t xml:space="preserve">the regime </w:t>
      </w:r>
      <w:r w:rsidR="005D2CF8">
        <w:t>c</w:t>
      </w:r>
      <w:r>
        <w:t>an</w:t>
      </w:r>
      <w:r w:rsidR="005D2CF8">
        <w:t xml:space="preserve"> </w:t>
      </w:r>
      <w:r w:rsidR="00860D7E">
        <w:t>accommodate evolving market development</w:t>
      </w:r>
      <w:r w:rsidR="005D2CF8">
        <w:t>s</w:t>
      </w:r>
      <w:r w:rsidR="00860D7E">
        <w:t xml:space="preserve"> and relevant international discussions</w:t>
      </w:r>
      <w:r>
        <w:t>; and</w:t>
      </w:r>
    </w:p>
    <w:p w14:paraId="723CB7AD" w14:textId="77777777" w:rsidR="00702E8F" w:rsidRDefault="00702E8F" w:rsidP="002530D7">
      <w:pPr>
        <w:pStyle w:val="a3"/>
        <w:spacing w:line="240" w:lineRule="auto"/>
        <w:ind w:left="1440"/>
        <w:jc w:val="both"/>
      </w:pPr>
    </w:p>
    <w:p w14:paraId="1E5F61AF" w14:textId="49914E7D" w:rsidR="001B21B1" w:rsidRDefault="0041341D" w:rsidP="002530D7">
      <w:pPr>
        <w:pStyle w:val="a3"/>
        <w:numPr>
          <w:ilvl w:val="0"/>
          <w:numId w:val="19"/>
        </w:numPr>
        <w:spacing w:line="240" w:lineRule="auto"/>
        <w:ind w:left="993" w:hanging="567"/>
        <w:jc w:val="both"/>
      </w:pPr>
      <w:r>
        <w:t>r</w:t>
      </w:r>
      <w:r w:rsidR="003546DA">
        <w:t>isk-based and proportionate</w:t>
      </w:r>
      <w:r w:rsidR="0065761F">
        <w:t xml:space="preserve"> </w:t>
      </w:r>
      <w:r w:rsidR="005D2CF8">
        <w:t>regulation</w:t>
      </w:r>
      <w:r w:rsidR="00860D7E">
        <w:t xml:space="preserve"> </w:t>
      </w:r>
      <w:r w:rsidR="005D2CF8">
        <w:t>address</w:t>
      </w:r>
      <w:r w:rsidR="00517F9D">
        <w:t>ing</w:t>
      </w:r>
      <w:r w:rsidR="001A561B">
        <w:t xml:space="preserve"> the </w:t>
      </w:r>
      <w:r w:rsidR="00DD4F7C">
        <w:t xml:space="preserve">key </w:t>
      </w:r>
      <w:r w:rsidR="001A561B">
        <w:t xml:space="preserve">risks presented by </w:t>
      </w:r>
      <w:proofErr w:type="spellStart"/>
      <w:r w:rsidR="001A561B">
        <w:t>stablecoins</w:t>
      </w:r>
      <w:proofErr w:type="spellEnd"/>
      <w:r w:rsidR="00517F9D">
        <w:t xml:space="preserve"> </w:t>
      </w:r>
      <w:proofErr w:type="gramStart"/>
      <w:r w:rsidR="00517F9D">
        <w:t>and</w:t>
      </w:r>
      <w:r w:rsidR="005D2CF8">
        <w:t xml:space="preserve"> </w:t>
      </w:r>
      <w:r w:rsidR="00517F9D">
        <w:t xml:space="preserve"> </w:t>
      </w:r>
      <w:proofErr w:type="spellStart"/>
      <w:r w:rsidR="00702E8F">
        <w:t>prioritising</w:t>
      </w:r>
      <w:proofErr w:type="spellEnd"/>
      <w:proofErr w:type="gramEnd"/>
      <w:r w:rsidR="001A561B">
        <w:t xml:space="preserve"> </w:t>
      </w:r>
      <w:r w:rsidR="00517F9D">
        <w:t xml:space="preserve">the </w:t>
      </w:r>
      <w:r w:rsidR="001A561B">
        <w:t xml:space="preserve">areas </w:t>
      </w:r>
      <w:r w:rsidR="00702E8F">
        <w:t>posing</w:t>
      </w:r>
      <w:r w:rsidR="001A561B">
        <w:t xml:space="preserve"> greater risks, while allowing room for financial innovation.</w:t>
      </w:r>
    </w:p>
    <w:p w14:paraId="59F4EF97" w14:textId="77777777" w:rsidR="0047237A" w:rsidRDefault="001B3A0A" w:rsidP="002530D7">
      <w:pPr>
        <w:spacing w:after="0" w:line="240" w:lineRule="auto"/>
        <w:jc w:val="both"/>
      </w:pPr>
      <w:r w:rsidRPr="001B3A0A">
        <w:rPr>
          <w:b/>
          <w:bCs/>
          <w:color w:val="FF0000"/>
        </w:rPr>
        <w:t xml:space="preserve">HKMA Proposals for Regulating </w:t>
      </w:r>
      <w:proofErr w:type="spellStart"/>
      <w:r w:rsidRPr="001B3A0A">
        <w:rPr>
          <w:b/>
          <w:bCs/>
          <w:color w:val="FF0000"/>
        </w:rPr>
        <w:t>Stablecoins</w:t>
      </w:r>
      <w:proofErr w:type="spellEnd"/>
    </w:p>
    <w:p w14:paraId="24985E2E" w14:textId="77777777" w:rsidR="0047237A" w:rsidRDefault="0047237A" w:rsidP="002530D7">
      <w:pPr>
        <w:spacing w:after="0" w:line="240" w:lineRule="auto"/>
        <w:jc w:val="both"/>
      </w:pPr>
    </w:p>
    <w:p w14:paraId="50481A36" w14:textId="77777777" w:rsidR="0047237A" w:rsidRDefault="00923AA1" w:rsidP="002530D7">
      <w:pPr>
        <w:spacing w:after="0" w:line="240" w:lineRule="auto"/>
        <w:jc w:val="both"/>
      </w:pPr>
      <w:r w:rsidRPr="00E50D7F">
        <w:rPr>
          <w:b/>
          <w:bCs/>
          <w:i/>
          <w:iCs/>
        </w:rPr>
        <w:t xml:space="preserve">Payment-related </w:t>
      </w:r>
      <w:proofErr w:type="spellStart"/>
      <w:r w:rsidRPr="00E50D7F">
        <w:rPr>
          <w:b/>
          <w:bCs/>
          <w:i/>
          <w:iCs/>
        </w:rPr>
        <w:t>stablecoins</w:t>
      </w:r>
      <w:proofErr w:type="spellEnd"/>
    </w:p>
    <w:p w14:paraId="7922609B" w14:textId="77777777" w:rsidR="0047237A" w:rsidRDefault="0047237A" w:rsidP="002530D7">
      <w:pPr>
        <w:spacing w:after="0" w:line="240" w:lineRule="auto"/>
        <w:jc w:val="both"/>
      </w:pPr>
    </w:p>
    <w:p w14:paraId="5299C59E" w14:textId="77777777" w:rsidR="0047237A" w:rsidRDefault="00F3215B" w:rsidP="002530D7">
      <w:pPr>
        <w:spacing w:after="0" w:line="240" w:lineRule="auto"/>
        <w:jc w:val="both"/>
      </w:pPr>
      <w:r>
        <w:rPr>
          <w:bCs/>
          <w:iCs/>
        </w:rPr>
        <w:t xml:space="preserve">The HKMA proposes to regulate payment-related </w:t>
      </w:r>
      <w:proofErr w:type="spellStart"/>
      <w:r>
        <w:rPr>
          <w:bCs/>
          <w:iCs/>
        </w:rPr>
        <w:t>stablecoins</w:t>
      </w:r>
      <w:proofErr w:type="spellEnd"/>
      <w:r>
        <w:rPr>
          <w:bCs/>
          <w:iCs/>
        </w:rPr>
        <w:t xml:space="preserve"> only, at least initially. “</w:t>
      </w:r>
      <w:proofErr w:type="spellStart"/>
      <w:r w:rsidR="00344883">
        <w:rPr>
          <w:bCs/>
          <w:iCs/>
        </w:rPr>
        <w:t>Stablecoins</w:t>
      </w:r>
      <w:proofErr w:type="spellEnd"/>
      <w:r>
        <w:rPr>
          <w:bCs/>
          <w:iCs/>
        </w:rPr>
        <w:t>” are</w:t>
      </w:r>
      <w:r w:rsidR="00344883">
        <w:rPr>
          <w:bCs/>
          <w:iCs/>
        </w:rPr>
        <w:t xml:space="preserve"> crypto-assets whose values are linked or referenced to an underlying asset</w:t>
      </w:r>
      <w:r>
        <w:rPr>
          <w:bCs/>
          <w:iCs/>
        </w:rPr>
        <w:t xml:space="preserve"> or assets</w:t>
      </w:r>
      <w:r w:rsidR="00344883">
        <w:rPr>
          <w:bCs/>
          <w:iCs/>
        </w:rPr>
        <w:t xml:space="preserve">, such as a security or fiat currency or a basket of securities of fiat currencies. They are typically described as being “pegged to” or supported by a single or a basket of fiat currencies or other assets. Depending on the referenced assets, </w:t>
      </w:r>
      <w:proofErr w:type="spellStart"/>
      <w:r w:rsidR="00344883">
        <w:rPr>
          <w:bCs/>
          <w:iCs/>
        </w:rPr>
        <w:t>stablecoins</w:t>
      </w:r>
      <w:proofErr w:type="spellEnd"/>
      <w:r w:rsidR="00344883">
        <w:rPr>
          <w:bCs/>
          <w:iCs/>
        </w:rPr>
        <w:t xml:space="preserve"> are used for investment or payment purposes. Given these characteristics, they are often differentiated from other types of crypto-assets with the result that they are more likely to </w:t>
      </w:r>
      <w:r>
        <w:rPr>
          <w:bCs/>
          <w:iCs/>
        </w:rPr>
        <w:t xml:space="preserve">be perceived as </w:t>
      </w:r>
      <w:r w:rsidR="00344883">
        <w:rPr>
          <w:bCs/>
          <w:iCs/>
        </w:rPr>
        <w:t xml:space="preserve">a widely acceptable means of payment and/or store of value (as compared to other crypto-assets) </w:t>
      </w:r>
      <w:r w:rsidR="00862AB1">
        <w:rPr>
          <w:bCs/>
          <w:iCs/>
        </w:rPr>
        <w:t xml:space="preserve">and thus </w:t>
      </w:r>
      <w:r w:rsidR="004622AF">
        <w:rPr>
          <w:bCs/>
          <w:iCs/>
        </w:rPr>
        <w:t>have</w:t>
      </w:r>
      <w:r w:rsidR="00862AB1">
        <w:rPr>
          <w:bCs/>
          <w:iCs/>
        </w:rPr>
        <w:t xml:space="preserve"> greater potential for being incorporated into the mainstream financial system or day-to-day commercial and economic activities. This explains why the Financial Stability Board (the </w:t>
      </w:r>
      <w:r w:rsidR="00862AB1" w:rsidRPr="00AC13ED">
        <w:rPr>
          <w:b/>
          <w:bCs/>
          <w:iCs/>
        </w:rPr>
        <w:t>FSB</w:t>
      </w:r>
      <w:r w:rsidR="00862AB1">
        <w:rPr>
          <w:bCs/>
          <w:iCs/>
        </w:rPr>
        <w:t xml:space="preserve">) has urged financial regulators to prepare to regulate </w:t>
      </w:r>
      <w:proofErr w:type="spellStart"/>
      <w:r w:rsidR="00862AB1">
        <w:rPr>
          <w:bCs/>
          <w:iCs/>
        </w:rPr>
        <w:t>stablecoins</w:t>
      </w:r>
      <w:proofErr w:type="spellEnd"/>
      <w:r w:rsidR="00862AB1">
        <w:rPr>
          <w:bCs/>
          <w:iCs/>
        </w:rPr>
        <w:t xml:space="preserve">, particularly those with the potential </w:t>
      </w:r>
      <w:r w:rsidR="004622AF">
        <w:rPr>
          <w:bCs/>
          <w:iCs/>
        </w:rPr>
        <w:t xml:space="preserve">to be applied </w:t>
      </w:r>
      <w:r w:rsidR="008865F0">
        <w:rPr>
          <w:bCs/>
          <w:iCs/>
        </w:rPr>
        <w:t xml:space="preserve">to </w:t>
      </w:r>
      <w:r w:rsidR="00862AB1">
        <w:rPr>
          <w:bCs/>
          <w:iCs/>
        </w:rPr>
        <w:t xml:space="preserve">payments across jurisdictions, which the HKMA refers to as global </w:t>
      </w:r>
      <w:proofErr w:type="spellStart"/>
      <w:r w:rsidR="00862AB1">
        <w:rPr>
          <w:bCs/>
          <w:iCs/>
        </w:rPr>
        <w:t>stablecoins</w:t>
      </w:r>
      <w:proofErr w:type="spellEnd"/>
      <w:r w:rsidR="00862AB1">
        <w:rPr>
          <w:bCs/>
          <w:iCs/>
        </w:rPr>
        <w:t>.</w:t>
      </w:r>
    </w:p>
    <w:p w14:paraId="703F1C95" w14:textId="77777777" w:rsidR="0047237A" w:rsidRDefault="0047237A" w:rsidP="002530D7">
      <w:pPr>
        <w:spacing w:after="0" w:line="240" w:lineRule="auto"/>
        <w:jc w:val="both"/>
      </w:pPr>
    </w:p>
    <w:p w14:paraId="083588EB" w14:textId="08D256AC" w:rsidR="0047237A" w:rsidRDefault="00862AB1" w:rsidP="002530D7">
      <w:pPr>
        <w:spacing w:line="240" w:lineRule="auto"/>
        <w:jc w:val="both"/>
        <w:rPr>
          <w:bCs/>
          <w:iCs/>
        </w:rPr>
      </w:pPr>
      <w:r>
        <w:rPr>
          <w:bCs/>
          <w:iCs/>
        </w:rPr>
        <w:t xml:space="preserve">The market </w:t>
      </w:r>
      <w:proofErr w:type="spellStart"/>
      <w:r>
        <w:rPr>
          <w:bCs/>
          <w:iCs/>
        </w:rPr>
        <w:t>capitalisation</w:t>
      </w:r>
      <w:proofErr w:type="spellEnd"/>
      <w:r>
        <w:rPr>
          <w:bCs/>
          <w:iCs/>
        </w:rPr>
        <w:t xml:space="preserve"> of </w:t>
      </w:r>
      <w:proofErr w:type="spellStart"/>
      <w:r>
        <w:rPr>
          <w:bCs/>
          <w:iCs/>
        </w:rPr>
        <w:t>stablecoins</w:t>
      </w:r>
      <w:proofErr w:type="spellEnd"/>
      <w:r>
        <w:rPr>
          <w:bCs/>
          <w:iCs/>
        </w:rPr>
        <w:t xml:space="preserve"> has grown rapidly in the past two years and stood at US$150 billion in December 2021, representing about 5% of the total crypto-asset market. Tether </w:t>
      </w:r>
      <w:r w:rsidR="00375AFC">
        <w:rPr>
          <w:bCs/>
          <w:iCs/>
        </w:rPr>
        <w:t>accounts for</w:t>
      </w:r>
      <w:r>
        <w:rPr>
          <w:bCs/>
          <w:iCs/>
        </w:rPr>
        <w:t xml:space="preserve"> </w:t>
      </w:r>
      <w:r w:rsidR="00375AFC">
        <w:rPr>
          <w:bCs/>
          <w:iCs/>
        </w:rPr>
        <w:t xml:space="preserve">roughly half of </w:t>
      </w:r>
      <w:proofErr w:type="spellStart"/>
      <w:r w:rsidR="00375AFC">
        <w:rPr>
          <w:bCs/>
          <w:iCs/>
        </w:rPr>
        <w:t>stablecoins</w:t>
      </w:r>
      <w:proofErr w:type="spellEnd"/>
      <w:r w:rsidR="00375AFC">
        <w:rPr>
          <w:bCs/>
          <w:iCs/>
        </w:rPr>
        <w:t xml:space="preserve">’ market </w:t>
      </w:r>
      <w:proofErr w:type="spellStart"/>
      <w:r w:rsidR="00375AFC">
        <w:rPr>
          <w:bCs/>
          <w:iCs/>
        </w:rPr>
        <w:t>capitalisation</w:t>
      </w:r>
      <w:proofErr w:type="spellEnd"/>
      <w:r w:rsidR="00375AFC">
        <w:rPr>
          <w:bCs/>
          <w:iCs/>
        </w:rPr>
        <w:t xml:space="preserve">, while other major </w:t>
      </w:r>
      <w:proofErr w:type="spellStart"/>
      <w:r w:rsidR="00375AFC">
        <w:rPr>
          <w:bCs/>
          <w:iCs/>
        </w:rPr>
        <w:t>stablecoins</w:t>
      </w:r>
      <w:proofErr w:type="spellEnd"/>
      <w:r w:rsidR="00375AFC">
        <w:rPr>
          <w:bCs/>
          <w:iCs/>
        </w:rPr>
        <w:t xml:space="preserve"> include USD Coin, </w:t>
      </w:r>
      <w:proofErr w:type="spellStart"/>
      <w:r w:rsidR="00375AFC">
        <w:rPr>
          <w:bCs/>
          <w:iCs/>
        </w:rPr>
        <w:t>Binance</w:t>
      </w:r>
      <w:proofErr w:type="spellEnd"/>
      <w:r w:rsidR="00375AFC">
        <w:rPr>
          <w:bCs/>
          <w:iCs/>
        </w:rPr>
        <w:t xml:space="preserve"> USD, Dai, Terra USD and Fei.</w:t>
      </w:r>
    </w:p>
    <w:p w14:paraId="6E54CF51" w14:textId="77777777" w:rsidR="0015603C" w:rsidRPr="00A30177" w:rsidRDefault="0015603C" w:rsidP="002530D7">
      <w:pPr>
        <w:pStyle w:val="a3"/>
        <w:numPr>
          <w:ilvl w:val="0"/>
          <w:numId w:val="22"/>
        </w:numPr>
        <w:spacing w:line="240" w:lineRule="auto"/>
        <w:ind w:left="426" w:hanging="426"/>
        <w:jc w:val="both"/>
        <w:rPr>
          <w:b/>
          <w:bCs/>
        </w:rPr>
      </w:pPr>
      <w:r w:rsidRPr="00A30177">
        <w:rPr>
          <w:b/>
          <w:bCs/>
        </w:rPr>
        <w:t xml:space="preserve">Regulatory Scope of </w:t>
      </w:r>
      <w:proofErr w:type="spellStart"/>
      <w:r w:rsidRPr="00A30177">
        <w:rPr>
          <w:b/>
          <w:bCs/>
        </w:rPr>
        <w:t>Stablecoin</w:t>
      </w:r>
      <w:proofErr w:type="spellEnd"/>
      <w:r w:rsidRPr="00A30177">
        <w:rPr>
          <w:b/>
          <w:bCs/>
        </w:rPr>
        <w:t>-related Activities</w:t>
      </w:r>
    </w:p>
    <w:p w14:paraId="525B5659" w14:textId="150C88EC" w:rsidR="0047237A" w:rsidRDefault="00CF155C" w:rsidP="002530D7">
      <w:pPr>
        <w:spacing w:line="240" w:lineRule="auto"/>
        <w:jc w:val="both"/>
      </w:pPr>
      <w:r>
        <w:t xml:space="preserve">The </w:t>
      </w:r>
      <w:r w:rsidR="00032AF0">
        <w:t>Discussion Paper’s first discussion question is:</w:t>
      </w:r>
    </w:p>
    <w:p w14:paraId="37EC5A99" w14:textId="77777777" w:rsidR="00032AF0" w:rsidRDefault="00032AF0" w:rsidP="002530D7">
      <w:pPr>
        <w:tabs>
          <w:tab w:val="left" w:pos="426"/>
        </w:tabs>
        <w:spacing w:line="240" w:lineRule="auto"/>
        <w:ind w:left="426"/>
        <w:jc w:val="both"/>
      </w:pPr>
      <w:r>
        <w:lastRenderedPageBreak/>
        <w:t>“</w:t>
      </w:r>
      <w:r w:rsidRPr="00AC13ED">
        <w:rPr>
          <w:i/>
        </w:rPr>
        <w:t xml:space="preserve">Should we regulate activities relating to all types of </w:t>
      </w:r>
      <w:proofErr w:type="spellStart"/>
      <w:r w:rsidRPr="00AC13ED">
        <w:rPr>
          <w:i/>
        </w:rPr>
        <w:t>stablecoins</w:t>
      </w:r>
      <w:proofErr w:type="spellEnd"/>
      <w:r w:rsidRPr="00AC13ED">
        <w:rPr>
          <w:i/>
        </w:rPr>
        <w:t xml:space="preserve"> or give priority to those payment-related </w:t>
      </w:r>
      <w:proofErr w:type="spellStart"/>
      <w:r w:rsidRPr="00AC13ED">
        <w:rPr>
          <w:i/>
        </w:rPr>
        <w:t>stablecoins</w:t>
      </w:r>
      <w:proofErr w:type="spellEnd"/>
      <w:r w:rsidRPr="00AC13ED">
        <w:rPr>
          <w:i/>
        </w:rPr>
        <w:t xml:space="preserve"> that pose higher risks to the monetary and financial systems while providing flexibility in the regime to make adjustments to the scope of </w:t>
      </w:r>
      <w:proofErr w:type="spellStart"/>
      <w:r w:rsidRPr="00AC13ED">
        <w:rPr>
          <w:i/>
        </w:rPr>
        <w:t>stablecoins</w:t>
      </w:r>
      <w:proofErr w:type="spellEnd"/>
      <w:r w:rsidRPr="00AC13ED">
        <w:rPr>
          <w:i/>
        </w:rPr>
        <w:t xml:space="preserve"> that may be subject to regulation as needed in the future?</w:t>
      </w:r>
      <w:r>
        <w:t>”</w:t>
      </w:r>
    </w:p>
    <w:p w14:paraId="015C7647" w14:textId="1E598A9F" w:rsidR="00923AA1" w:rsidRDefault="00032AF0" w:rsidP="002530D7">
      <w:pPr>
        <w:tabs>
          <w:tab w:val="left" w:pos="0"/>
        </w:tabs>
        <w:spacing w:line="240" w:lineRule="auto"/>
        <w:jc w:val="both"/>
      </w:pPr>
      <w:r>
        <w:t xml:space="preserve">The </w:t>
      </w:r>
      <w:r w:rsidR="00CF155C">
        <w:t xml:space="preserve">HKMA </w:t>
      </w:r>
      <w:r>
        <w:t xml:space="preserve">is </w:t>
      </w:r>
      <w:r w:rsidR="00CF155C">
        <w:t>propos</w:t>
      </w:r>
      <w:r>
        <w:t>ing</w:t>
      </w:r>
      <w:r w:rsidR="00CF155C">
        <w:t xml:space="preserve"> a risk-based approach, which </w:t>
      </w:r>
      <w:r>
        <w:t>will</w:t>
      </w:r>
      <w:r w:rsidR="00CF155C">
        <w:t xml:space="preserve"> </w:t>
      </w:r>
      <w:r>
        <w:t xml:space="preserve">initially focus on </w:t>
      </w:r>
      <w:r w:rsidR="00CF155C">
        <w:t xml:space="preserve">activities relating to payment-related </w:t>
      </w:r>
      <w:proofErr w:type="spellStart"/>
      <w:r w:rsidR="00CF155C">
        <w:t>stablecoins</w:t>
      </w:r>
      <w:proofErr w:type="spellEnd"/>
      <w:r w:rsidR="00CF155C">
        <w:t xml:space="preserve">. The regulatory emphasis will be on asset-linked </w:t>
      </w:r>
      <w:proofErr w:type="spellStart"/>
      <w:r w:rsidR="00CF155C">
        <w:t>stablecoins</w:t>
      </w:r>
      <w:proofErr w:type="spellEnd"/>
      <w:r w:rsidR="00CF155C">
        <w:t xml:space="preserve"> (</w:t>
      </w:r>
      <w:proofErr w:type="gramStart"/>
      <w:r w:rsidR="00CF155C">
        <w:t>e.g.</w:t>
      </w:r>
      <w:proofErr w:type="gramEnd"/>
      <w:r w:rsidR="00CF155C">
        <w:t xml:space="preserve"> </w:t>
      </w:r>
      <w:r w:rsidR="00324D85">
        <w:t xml:space="preserve">a </w:t>
      </w:r>
      <w:proofErr w:type="spellStart"/>
      <w:r w:rsidR="00324D85">
        <w:t>stablecoin</w:t>
      </w:r>
      <w:proofErr w:type="spellEnd"/>
      <w:r w:rsidR="00324D85">
        <w:t xml:space="preserve"> whose </w:t>
      </w:r>
      <w:r w:rsidR="00CF155C">
        <w:t xml:space="preserve">value </w:t>
      </w:r>
      <w:r w:rsidR="00324D85">
        <w:t xml:space="preserve">is linked to </w:t>
      </w:r>
      <w:r w:rsidR="00CF155C">
        <w:t xml:space="preserve">a specific fiat currency) rather than algorithm-based </w:t>
      </w:r>
      <w:proofErr w:type="spellStart"/>
      <w:r w:rsidR="00CF155C">
        <w:t>stablecoins</w:t>
      </w:r>
      <w:proofErr w:type="spellEnd"/>
      <w:r>
        <w:t xml:space="preserve"> which typically use protocols altering </w:t>
      </w:r>
      <w:proofErr w:type="spellStart"/>
      <w:r>
        <w:t>stablecoin</w:t>
      </w:r>
      <w:proofErr w:type="spellEnd"/>
      <w:r>
        <w:t xml:space="preserve"> supply in response to changes in demand to </w:t>
      </w:r>
      <w:r w:rsidR="001705F5">
        <w:t>maintain a stable value</w:t>
      </w:r>
      <w:r w:rsidR="00CF155C">
        <w:t xml:space="preserve">. </w:t>
      </w:r>
      <w:r w:rsidR="00C128B0">
        <w:t xml:space="preserve">This is because most </w:t>
      </w:r>
      <w:proofErr w:type="spellStart"/>
      <w:r w:rsidR="00C128B0">
        <w:t>stablecoins</w:t>
      </w:r>
      <w:proofErr w:type="spellEnd"/>
      <w:r w:rsidR="00C128B0">
        <w:t xml:space="preserve"> are </w:t>
      </w:r>
      <w:r w:rsidR="001705F5">
        <w:t xml:space="preserve">currently asset-linked and are mainly </w:t>
      </w:r>
      <w:r w:rsidR="00C128B0">
        <w:t xml:space="preserve">pegged to the US dollar. </w:t>
      </w:r>
      <w:r w:rsidR="008865F0">
        <w:t>A</w:t>
      </w:r>
      <w:r w:rsidR="00C128B0">
        <w:t xml:space="preserve">sset-linked </w:t>
      </w:r>
      <w:proofErr w:type="spellStart"/>
      <w:r w:rsidR="00C128B0">
        <w:t>stablecoins</w:t>
      </w:r>
      <w:proofErr w:type="spellEnd"/>
      <w:r w:rsidR="00C128B0">
        <w:t xml:space="preserve"> </w:t>
      </w:r>
      <w:r w:rsidR="008865F0">
        <w:t xml:space="preserve">also </w:t>
      </w:r>
      <w:r w:rsidR="002F48B4">
        <w:t xml:space="preserve">appear to be </w:t>
      </w:r>
      <w:r w:rsidR="00C128B0">
        <w:t xml:space="preserve">more popular </w:t>
      </w:r>
      <w:r w:rsidR="008865F0">
        <w:t xml:space="preserve">than </w:t>
      </w:r>
      <w:r w:rsidR="00F672B6">
        <w:t xml:space="preserve">algorithm-based </w:t>
      </w:r>
      <w:proofErr w:type="spellStart"/>
      <w:r w:rsidR="00F672B6">
        <w:t>stablecoins</w:t>
      </w:r>
      <w:proofErr w:type="spellEnd"/>
      <w:r w:rsidR="008865F0">
        <w:t xml:space="preserve"> </w:t>
      </w:r>
      <w:r w:rsidR="00C03A5A">
        <w:t xml:space="preserve">and more likely to become widely adopted as a means of payment, </w:t>
      </w:r>
      <w:r w:rsidR="002F48B4">
        <w:t xml:space="preserve">therefore </w:t>
      </w:r>
      <w:r w:rsidR="00C03A5A">
        <w:t xml:space="preserve">having </w:t>
      </w:r>
      <w:r w:rsidR="002F48B4">
        <w:t xml:space="preserve">greater </w:t>
      </w:r>
      <w:r w:rsidR="00C03A5A">
        <w:t>potential for being incorporated into mainstream financ</w:t>
      </w:r>
      <w:r w:rsidR="001705F5">
        <w:t>e</w:t>
      </w:r>
      <w:r w:rsidR="00C03A5A">
        <w:t xml:space="preserve">. </w:t>
      </w:r>
      <w:proofErr w:type="spellStart"/>
      <w:r w:rsidR="00F672B6">
        <w:t>R</w:t>
      </w:r>
      <w:r w:rsidR="00FF6DA3">
        <w:t>ecognising</w:t>
      </w:r>
      <w:proofErr w:type="spellEnd"/>
      <w:r w:rsidR="00FF6DA3">
        <w:t xml:space="preserve"> </w:t>
      </w:r>
      <w:r w:rsidR="00F672B6">
        <w:t xml:space="preserve">the possibility that </w:t>
      </w:r>
      <w:r w:rsidR="002F48B4" w:rsidRPr="002F48B4">
        <w:t xml:space="preserve">other types of </w:t>
      </w:r>
      <w:proofErr w:type="spellStart"/>
      <w:r w:rsidR="002F48B4" w:rsidRPr="002F48B4">
        <w:t>stablecoins</w:t>
      </w:r>
      <w:proofErr w:type="spellEnd"/>
      <w:r w:rsidR="002F48B4" w:rsidRPr="002F48B4">
        <w:t xml:space="preserve"> (</w:t>
      </w:r>
      <w:proofErr w:type="gramStart"/>
      <w:r w:rsidR="002F48B4" w:rsidRPr="002F48B4">
        <w:t>e.g.</w:t>
      </w:r>
      <w:proofErr w:type="gramEnd"/>
      <w:r w:rsidR="002F48B4" w:rsidRPr="002F48B4">
        <w:t xml:space="preserve"> algorithm-based </w:t>
      </w:r>
      <w:proofErr w:type="spellStart"/>
      <w:r w:rsidR="002F48B4" w:rsidRPr="002F48B4">
        <w:t>stablecoins</w:t>
      </w:r>
      <w:proofErr w:type="spellEnd"/>
      <w:r w:rsidR="002F48B4" w:rsidRPr="002F48B4">
        <w:t xml:space="preserve">) </w:t>
      </w:r>
      <w:r w:rsidR="00F672B6">
        <w:t>may need to be regulated in future because of</w:t>
      </w:r>
      <w:r w:rsidR="002F48B4" w:rsidRPr="002F48B4">
        <w:t xml:space="preserve"> the</w:t>
      </w:r>
      <w:r w:rsidR="00F672B6">
        <w:t xml:space="preserve"> potential </w:t>
      </w:r>
      <w:r w:rsidR="002F48B4" w:rsidRPr="002F48B4">
        <w:t xml:space="preserve">risks they </w:t>
      </w:r>
      <w:r w:rsidR="00F672B6">
        <w:t>might</w:t>
      </w:r>
      <w:r w:rsidR="002F48B4" w:rsidRPr="002F48B4">
        <w:t xml:space="preserve"> pose to Hong Kong’s monetary and financial stability</w:t>
      </w:r>
      <w:r w:rsidR="00FF6DA3">
        <w:t xml:space="preserve">, the </w:t>
      </w:r>
      <w:r w:rsidR="007717B1">
        <w:t xml:space="preserve">HKMA </w:t>
      </w:r>
      <w:r w:rsidR="00F672B6">
        <w:t xml:space="preserve">wants a flexible </w:t>
      </w:r>
      <w:r w:rsidR="00FF6DA3">
        <w:t xml:space="preserve">regime </w:t>
      </w:r>
      <w:r w:rsidR="002F48B4">
        <w:t xml:space="preserve">that </w:t>
      </w:r>
      <w:r w:rsidR="001705F5">
        <w:t xml:space="preserve">can be </w:t>
      </w:r>
      <w:r w:rsidR="002F48B4">
        <w:t>modifi</w:t>
      </w:r>
      <w:r w:rsidR="001705F5">
        <w:t>ed in future as necessary</w:t>
      </w:r>
      <w:r w:rsidR="00FF6DA3">
        <w:t>.</w:t>
      </w:r>
    </w:p>
    <w:p w14:paraId="53323B56" w14:textId="6C27C9E7" w:rsidR="00E50D7F" w:rsidRPr="00AC13ED" w:rsidRDefault="00E50D7F" w:rsidP="002530D7">
      <w:pPr>
        <w:pStyle w:val="a3"/>
        <w:numPr>
          <w:ilvl w:val="0"/>
          <w:numId w:val="22"/>
        </w:numPr>
        <w:spacing w:line="240" w:lineRule="auto"/>
        <w:ind w:left="426" w:hanging="426"/>
        <w:jc w:val="both"/>
        <w:rPr>
          <w:b/>
          <w:bCs/>
          <w:iCs/>
        </w:rPr>
      </w:pPr>
      <w:r w:rsidRPr="00AC13ED">
        <w:rPr>
          <w:b/>
          <w:bCs/>
          <w:iCs/>
        </w:rPr>
        <w:t xml:space="preserve">Regulated </w:t>
      </w:r>
      <w:proofErr w:type="spellStart"/>
      <w:r w:rsidR="001705F5" w:rsidRPr="00AC13ED">
        <w:rPr>
          <w:b/>
          <w:bCs/>
          <w:iCs/>
        </w:rPr>
        <w:t>stablecoin</w:t>
      </w:r>
      <w:proofErr w:type="spellEnd"/>
      <w:r w:rsidR="001705F5" w:rsidRPr="00AC13ED">
        <w:rPr>
          <w:b/>
          <w:bCs/>
          <w:iCs/>
        </w:rPr>
        <w:t xml:space="preserve">-related </w:t>
      </w:r>
      <w:r w:rsidRPr="00AC13ED">
        <w:rPr>
          <w:b/>
          <w:bCs/>
          <w:iCs/>
        </w:rPr>
        <w:t xml:space="preserve">activities </w:t>
      </w:r>
    </w:p>
    <w:p w14:paraId="16F860F1" w14:textId="51ABA962" w:rsidR="003F6C5D" w:rsidRDefault="001705F5" w:rsidP="002530D7">
      <w:pPr>
        <w:spacing w:line="240" w:lineRule="auto"/>
        <w:jc w:val="both"/>
      </w:pPr>
      <w:r>
        <w:t>The second discussion question raised is:</w:t>
      </w:r>
    </w:p>
    <w:p w14:paraId="3556DDA9" w14:textId="77777777" w:rsidR="001705F5" w:rsidRPr="00AC13ED" w:rsidRDefault="001705F5" w:rsidP="002530D7">
      <w:pPr>
        <w:tabs>
          <w:tab w:val="left" w:pos="426"/>
        </w:tabs>
        <w:spacing w:line="240" w:lineRule="auto"/>
        <w:ind w:left="426"/>
        <w:jc w:val="both"/>
        <w:rPr>
          <w:i/>
        </w:rPr>
      </w:pPr>
      <w:r>
        <w:rPr>
          <w:i/>
        </w:rPr>
        <w:t>“</w:t>
      </w:r>
      <w:r w:rsidRPr="00AC13ED">
        <w:rPr>
          <w:i/>
        </w:rPr>
        <w:t xml:space="preserve">What types of </w:t>
      </w:r>
      <w:proofErr w:type="spellStart"/>
      <w:r w:rsidRPr="00AC13ED">
        <w:rPr>
          <w:i/>
        </w:rPr>
        <w:t>stablecoin</w:t>
      </w:r>
      <w:proofErr w:type="spellEnd"/>
      <w:r w:rsidRPr="00AC13ED">
        <w:rPr>
          <w:i/>
        </w:rPr>
        <w:t xml:space="preserve">-related activities should fall under the regulatory ambit, </w:t>
      </w:r>
      <w:proofErr w:type="gramStart"/>
      <w:r w:rsidRPr="00AC13ED">
        <w:rPr>
          <w:i/>
        </w:rPr>
        <w:t>e.g.</w:t>
      </w:r>
      <w:proofErr w:type="gramEnd"/>
      <w:r w:rsidRPr="00AC13ED">
        <w:rPr>
          <w:i/>
        </w:rPr>
        <w:t xml:space="preserve"> issuance and redemption, custody and administration, reserves management?</w:t>
      </w:r>
      <w:r>
        <w:rPr>
          <w:i/>
        </w:rPr>
        <w:t>”</w:t>
      </w:r>
    </w:p>
    <w:p w14:paraId="5118E834" w14:textId="77777777" w:rsidR="003F6C5D" w:rsidRDefault="00FF6DA3" w:rsidP="002530D7">
      <w:pPr>
        <w:spacing w:after="0" w:line="240" w:lineRule="auto"/>
        <w:jc w:val="both"/>
      </w:pPr>
      <w:r>
        <w:t xml:space="preserve">The HKMA proposes </w:t>
      </w:r>
      <w:r w:rsidR="00D21EAB">
        <w:t>that certain activit</w:t>
      </w:r>
      <w:r w:rsidR="00362704">
        <w:t>ies relating</w:t>
      </w:r>
      <w:r w:rsidR="00362704" w:rsidRPr="00E75675">
        <w:t xml:space="preserve"> to </w:t>
      </w:r>
      <w:proofErr w:type="spellStart"/>
      <w:r w:rsidR="00362704" w:rsidRPr="00E75675">
        <w:t>stablecoins</w:t>
      </w:r>
      <w:proofErr w:type="spellEnd"/>
      <w:r w:rsidR="00362704" w:rsidRPr="00E75675">
        <w:t xml:space="preserve"> </w:t>
      </w:r>
      <w:r w:rsidR="00362704">
        <w:t>will require HKMA licensing</w:t>
      </w:r>
      <w:r w:rsidR="003A3856">
        <w:t>.</w:t>
      </w:r>
      <w:r w:rsidR="00362704">
        <w:t xml:space="preserve"> </w:t>
      </w:r>
      <w:r w:rsidR="003A3856">
        <w:t xml:space="preserve">This </w:t>
      </w:r>
      <w:r w:rsidR="001705F5">
        <w:t xml:space="preserve">would </w:t>
      </w:r>
      <w:r w:rsidR="002E3768">
        <w:t xml:space="preserve">require </w:t>
      </w:r>
      <w:r w:rsidR="003A3856">
        <w:t>expan</w:t>
      </w:r>
      <w:r w:rsidR="002E3768">
        <w:t xml:space="preserve">ding </w:t>
      </w:r>
      <w:r>
        <w:t>the scope of existing legislation (</w:t>
      </w:r>
      <w:proofErr w:type="gramStart"/>
      <w:r>
        <w:t>e.g.</w:t>
      </w:r>
      <w:proofErr w:type="gramEnd"/>
      <w:r>
        <w:t xml:space="preserve"> the PSSVFO) or </w:t>
      </w:r>
      <w:r w:rsidR="003A3856">
        <w:t>enact</w:t>
      </w:r>
      <w:r w:rsidR="002E3768">
        <w:t>ing</w:t>
      </w:r>
      <w:r w:rsidR="003A3856">
        <w:t xml:space="preserve"> </w:t>
      </w:r>
      <w:r>
        <w:t xml:space="preserve">new law. </w:t>
      </w:r>
      <w:r w:rsidR="002E3768">
        <w:t xml:space="preserve">Since </w:t>
      </w:r>
      <w:proofErr w:type="spellStart"/>
      <w:r w:rsidR="002E3768">
        <w:t>stablecoin</w:t>
      </w:r>
      <w:proofErr w:type="spellEnd"/>
      <w:r w:rsidR="002E3768">
        <w:t xml:space="preserve"> arrangements </w:t>
      </w:r>
      <w:r w:rsidR="00D21EAB">
        <w:t xml:space="preserve">usually </w:t>
      </w:r>
      <w:r w:rsidR="002E3768">
        <w:t>involve</w:t>
      </w:r>
      <w:r w:rsidR="00E75675">
        <w:t xml:space="preserve"> more than one entit</w:t>
      </w:r>
      <w:r w:rsidR="002E3768">
        <w:t>y</w:t>
      </w:r>
      <w:r w:rsidR="00E75675">
        <w:t xml:space="preserve">, </w:t>
      </w:r>
      <w:r w:rsidR="00D21EAB">
        <w:t>multiple</w:t>
      </w:r>
      <w:r w:rsidR="00E75675">
        <w:t xml:space="preserve"> entities in a </w:t>
      </w:r>
      <w:proofErr w:type="spellStart"/>
      <w:r w:rsidR="00E75675">
        <w:t>stablecoin</w:t>
      </w:r>
      <w:proofErr w:type="spellEnd"/>
      <w:r w:rsidR="00E75675">
        <w:t xml:space="preserve"> arrangement </w:t>
      </w:r>
      <w:r w:rsidR="002E3768">
        <w:t xml:space="preserve">may need </w:t>
      </w:r>
      <w:r w:rsidR="00E75675">
        <w:t xml:space="preserve">to seek </w:t>
      </w:r>
      <w:r w:rsidR="002E3768">
        <w:t xml:space="preserve">HKMA </w:t>
      </w:r>
      <w:proofErr w:type="spellStart"/>
      <w:r w:rsidR="00E75675">
        <w:t>authorisation</w:t>
      </w:r>
      <w:proofErr w:type="spellEnd"/>
      <w:r w:rsidR="00E75675">
        <w:t>.</w:t>
      </w:r>
    </w:p>
    <w:p w14:paraId="4390E191" w14:textId="77777777" w:rsidR="003F6C5D" w:rsidRDefault="003F6C5D" w:rsidP="002530D7">
      <w:pPr>
        <w:spacing w:after="0" w:line="240" w:lineRule="auto"/>
        <w:jc w:val="both"/>
      </w:pPr>
    </w:p>
    <w:p w14:paraId="03D9FD32" w14:textId="282A46E0" w:rsidR="00E75675" w:rsidRDefault="00E75675" w:rsidP="002530D7">
      <w:pPr>
        <w:spacing w:line="240" w:lineRule="auto"/>
        <w:jc w:val="both"/>
      </w:pPr>
      <w:r w:rsidRPr="00E75675">
        <w:t xml:space="preserve">The proposed regulated activities </w:t>
      </w:r>
      <w:r w:rsidR="00CB1F8E">
        <w:t>relating</w:t>
      </w:r>
      <w:r w:rsidRPr="00E75675">
        <w:t xml:space="preserve"> to </w:t>
      </w:r>
      <w:proofErr w:type="spellStart"/>
      <w:r w:rsidRPr="00E75675">
        <w:t>stablecoins</w:t>
      </w:r>
      <w:proofErr w:type="spellEnd"/>
      <w:r w:rsidRPr="00E75675">
        <w:t xml:space="preserve"> include:</w:t>
      </w:r>
    </w:p>
    <w:p w14:paraId="5CD30C54" w14:textId="10FE9FE2" w:rsidR="00E75675" w:rsidRDefault="00E75675" w:rsidP="002530D7">
      <w:pPr>
        <w:pStyle w:val="a3"/>
        <w:numPr>
          <w:ilvl w:val="0"/>
          <w:numId w:val="20"/>
        </w:numPr>
        <w:spacing w:line="240" w:lineRule="auto"/>
        <w:jc w:val="both"/>
      </w:pPr>
      <w:r w:rsidRPr="00E75675">
        <w:t xml:space="preserve">issuing, creating or destroying </w:t>
      </w:r>
      <w:proofErr w:type="spellStart"/>
      <w:r w:rsidRPr="00E75675">
        <w:t>stablecoins</w:t>
      </w:r>
      <w:proofErr w:type="spellEnd"/>
      <w:r w:rsidRPr="00E75675">
        <w:t xml:space="preserve"> (</w:t>
      </w:r>
      <w:proofErr w:type="gramStart"/>
      <w:r w:rsidR="001705F5">
        <w:t>i.e.</w:t>
      </w:r>
      <w:proofErr w:type="gramEnd"/>
      <w:r w:rsidR="001705F5">
        <w:t xml:space="preserve"> the issuer</w:t>
      </w:r>
      <w:r w:rsidR="001705F5" w:rsidRPr="00E75675">
        <w:t xml:space="preserve"> </w:t>
      </w:r>
      <w:r w:rsidRPr="00E75675">
        <w:t>minting and burning</w:t>
      </w:r>
      <w:r w:rsidR="0012707F">
        <w:t xml:space="preserve"> </w:t>
      </w:r>
      <w:proofErr w:type="spellStart"/>
      <w:r w:rsidR="001705F5">
        <w:t>stablecoins</w:t>
      </w:r>
      <w:proofErr w:type="spellEnd"/>
      <w:r w:rsidRPr="00E75675">
        <w:t>);</w:t>
      </w:r>
    </w:p>
    <w:p w14:paraId="278CCFF4" w14:textId="77777777" w:rsidR="002E3768" w:rsidRDefault="002E3768" w:rsidP="002530D7">
      <w:pPr>
        <w:pStyle w:val="a3"/>
        <w:spacing w:line="240" w:lineRule="auto"/>
        <w:ind w:left="1080"/>
        <w:jc w:val="both"/>
      </w:pPr>
    </w:p>
    <w:p w14:paraId="60128A85" w14:textId="3EF0CC6C" w:rsidR="00E75675" w:rsidRDefault="00E75675" w:rsidP="002530D7">
      <w:pPr>
        <w:pStyle w:val="a3"/>
        <w:numPr>
          <w:ilvl w:val="0"/>
          <w:numId w:val="20"/>
        </w:numPr>
        <w:spacing w:line="240" w:lineRule="auto"/>
        <w:jc w:val="both"/>
      </w:pPr>
      <w:r w:rsidRPr="00E75675">
        <w:t xml:space="preserve">managing reserve assets to </w:t>
      </w:r>
      <w:proofErr w:type="spellStart"/>
      <w:r w:rsidRPr="00E75675">
        <w:t>stabilise</w:t>
      </w:r>
      <w:proofErr w:type="spellEnd"/>
      <w:r w:rsidRPr="00E75675">
        <w:t xml:space="preserve"> the value of </w:t>
      </w:r>
      <w:proofErr w:type="spellStart"/>
      <w:r w:rsidRPr="00E75675">
        <w:t>stablecoins</w:t>
      </w:r>
      <w:proofErr w:type="spellEnd"/>
      <w:r w:rsidRPr="00E75675">
        <w:t xml:space="preserve"> (</w:t>
      </w:r>
      <w:proofErr w:type="gramStart"/>
      <w:r w:rsidR="001705F5">
        <w:t>i.e.</w:t>
      </w:r>
      <w:proofErr w:type="gramEnd"/>
      <w:r w:rsidR="001705F5">
        <w:t xml:space="preserve"> </w:t>
      </w:r>
      <w:r w:rsidRPr="00E75675">
        <w:t>manag</w:t>
      </w:r>
      <w:r w:rsidR="001705F5">
        <w:t>ing</w:t>
      </w:r>
      <w:r w:rsidRPr="00E75675">
        <w:t xml:space="preserve"> </w:t>
      </w:r>
      <w:r w:rsidR="001705F5">
        <w:t>the</w:t>
      </w:r>
      <w:r w:rsidRPr="00E75675">
        <w:t xml:space="preserve"> reserve assets that </w:t>
      </w:r>
      <w:r w:rsidR="008A079C">
        <w:t>back</w:t>
      </w:r>
      <w:r w:rsidR="008A079C" w:rsidRPr="00E75675">
        <w:t xml:space="preserve"> </w:t>
      </w:r>
      <w:r w:rsidRPr="00E75675">
        <w:t xml:space="preserve">the value of </w:t>
      </w:r>
      <w:r w:rsidR="008A079C">
        <w:t xml:space="preserve">the </w:t>
      </w:r>
      <w:proofErr w:type="spellStart"/>
      <w:r w:rsidRPr="00E75675">
        <w:t>stablecoins</w:t>
      </w:r>
      <w:proofErr w:type="spellEnd"/>
      <w:r w:rsidRPr="00E75675">
        <w:t xml:space="preserve"> and provi</w:t>
      </w:r>
      <w:r w:rsidR="00D64638">
        <w:t>ding</w:t>
      </w:r>
      <w:r w:rsidRPr="00E75675">
        <w:t xml:space="preserve"> custody</w:t>
      </w:r>
      <w:r w:rsidR="00D64638">
        <w:t xml:space="preserve"> or </w:t>
      </w:r>
      <w:r w:rsidRPr="00E75675">
        <w:t>trust for these assets);</w:t>
      </w:r>
    </w:p>
    <w:p w14:paraId="42590A13" w14:textId="77777777" w:rsidR="002E3768" w:rsidRDefault="002E3768" w:rsidP="002530D7">
      <w:pPr>
        <w:pStyle w:val="a3"/>
        <w:spacing w:line="240" w:lineRule="auto"/>
        <w:ind w:left="1080"/>
        <w:jc w:val="both"/>
      </w:pPr>
    </w:p>
    <w:p w14:paraId="6CE45B1C" w14:textId="34D0452A" w:rsidR="00E75675" w:rsidRDefault="00E75675" w:rsidP="002530D7">
      <w:pPr>
        <w:pStyle w:val="a3"/>
        <w:numPr>
          <w:ilvl w:val="0"/>
          <w:numId w:val="20"/>
        </w:numPr>
        <w:spacing w:line="240" w:lineRule="auto"/>
        <w:jc w:val="both"/>
      </w:pPr>
      <w:r w:rsidRPr="00E75675">
        <w:t xml:space="preserve">validating transactions and records (including </w:t>
      </w:r>
      <w:proofErr w:type="spellStart"/>
      <w:r w:rsidRPr="00E75675">
        <w:t>authorisin</w:t>
      </w:r>
      <w:r w:rsidR="00D64638">
        <w:t>g</w:t>
      </w:r>
      <w:proofErr w:type="spellEnd"/>
      <w:r w:rsidRPr="00E75675">
        <w:t xml:space="preserve"> or verif</w:t>
      </w:r>
      <w:r w:rsidR="00D64638">
        <w:t>ying</w:t>
      </w:r>
      <w:r w:rsidRPr="00E75675">
        <w:t xml:space="preserve"> the validity of transactions and records);</w:t>
      </w:r>
    </w:p>
    <w:p w14:paraId="0F8823B5" w14:textId="77777777" w:rsidR="002E3768" w:rsidRDefault="002E3768" w:rsidP="002530D7">
      <w:pPr>
        <w:pStyle w:val="a3"/>
        <w:spacing w:line="240" w:lineRule="auto"/>
        <w:ind w:left="1080"/>
        <w:jc w:val="both"/>
      </w:pPr>
    </w:p>
    <w:p w14:paraId="74CE84D5" w14:textId="77072806" w:rsidR="00E75675" w:rsidRDefault="00E75675" w:rsidP="002530D7">
      <w:pPr>
        <w:pStyle w:val="a3"/>
        <w:numPr>
          <w:ilvl w:val="0"/>
          <w:numId w:val="20"/>
        </w:numPr>
        <w:spacing w:line="240" w:lineRule="auto"/>
        <w:jc w:val="both"/>
      </w:pPr>
      <w:r w:rsidRPr="00E75675">
        <w:t xml:space="preserve">storing the private keys </w:t>
      </w:r>
      <w:r w:rsidR="00D64638">
        <w:t xml:space="preserve">providing access to </w:t>
      </w:r>
      <w:proofErr w:type="spellStart"/>
      <w:r w:rsidRPr="00E75675">
        <w:t>stablecoins</w:t>
      </w:r>
      <w:proofErr w:type="spellEnd"/>
      <w:r w:rsidRPr="00E75675">
        <w:t xml:space="preserve"> (</w:t>
      </w:r>
      <w:proofErr w:type="gramStart"/>
      <w:r w:rsidR="00D64638">
        <w:t>i.e.</w:t>
      </w:r>
      <w:proofErr w:type="gramEnd"/>
      <w:r w:rsidR="00D64638">
        <w:t xml:space="preserve"> </w:t>
      </w:r>
      <w:r w:rsidRPr="00E75675">
        <w:t xml:space="preserve">safe-keeping of </w:t>
      </w:r>
      <w:r w:rsidR="00D64638">
        <w:t xml:space="preserve">the </w:t>
      </w:r>
      <w:r w:rsidRPr="00E75675">
        <w:t xml:space="preserve">keys used to digitally sign transaction instructions on behalf of </w:t>
      </w:r>
      <w:proofErr w:type="spellStart"/>
      <w:r w:rsidRPr="00E75675">
        <w:t>stablecoin</w:t>
      </w:r>
      <w:proofErr w:type="spellEnd"/>
      <w:r w:rsidRPr="00E75675">
        <w:t xml:space="preserve"> holders);</w:t>
      </w:r>
    </w:p>
    <w:p w14:paraId="31CAD46B" w14:textId="77777777" w:rsidR="002E3768" w:rsidRDefault="002E3768" w:rsidP="002530D7">
      <w:pPr>
        <w:pStyle w:val="a3"/>
        <w:spacing w:line="240" w:lineRule="auto"/>
        <w:ind w:left="1080"/>
        <w:jc w:val="both"/>
      </w:pPr>
    </w:p>
    <w:p w14:paraId="4D43DC38" w14:textId="42EB6ABC" w:rsidR="009A5FD6" w:rsidRDefault="008B4FCC" w:rsidP="002530D7">
      <w:pPr>
        <w:pStyle w:val="a3"/>
        <w:numPr>
          <w:ilvl w:val="0"/>
          <w:numId w:val="20"/>
        </w:numPr>
        <w:spacing w:line="240" w:lineRule="auto"/>
        <w:jc w:val="both"/>
      </w:pPr>
      <w:r>
        <w:t>facilitating</w:t>
      </w:r>
      <w:r w:rsidRPr="00E75675">
        <w:t xml:space="preserve"> </w:t>
      </w:r>
      <w:r w:rsidR="00E75675" w:rsidRPr="00E75675">
        <w:t xml:space="preserve">the redemption of </w:t>
      </w:r>
      <w:proofErr w:type="spellStart"/>
      <w:r w:rsidR="00E75675" w:rsidRPr="00E75675">
        <w:t>stablecoins</w:t>
      </w:r>
      <w:proofErr w:type="spellEnd"/>
      <w:r w:rsidR="00E75675" w:rsidRPr="00E75675">
        <w:t xml:space="preserve"> (</w:t>
      </w:r>
      <w:proofErr w:type="gramStart"/>
      <w:r w:rsidR="00D64638">
        <w:t>i.e.</w:t>
      </w:r>
      <w:proofErr w:type="gramEnd"/>
      <w:r w:rsidR="00D64638">
        <w:t xml:space="preserve"> facilitating </w:t>
      </w:r>
      <w:proofErr w:type="spellStart"/>
      <w:r w:rsidR="00D64638">
        <w:t>stablecoin</w:t>
      </w:r>
      <w:proofErr w:type="spellEnd"/>
      <w:r w:rsidR="00D64638">
        <w:t xml:space="preserve"> holders’ </w:t>
      </w:r>
      <w:r w:rsidR="0089286D">
        <w:t>redemption</w:t>
      </w:r>
      <w:r w:rsidR="00D64638">
        <w:t xml:space="preserve"> of their </w:t>
      </w:r>
      <w:proofErr w:type="spellStart"/>
      <w:r w:rsidR="00D64638">
        <w:t>stablecoins</w:t>
      </w:r>
      <w:proofErr w:type="spellEnd"/>
      <w:r w:rsidR="0089286D">
        <w:t xml:space="preserve"> for fi</w:t>
      </w:r>
      <w:r w:rsidR="00695572">
        <w:t>a</w:t>
      </w:r>
      <w:r w:rsidR="0089286D">
        <w:t>t currencies or other assets</w:t>
      </w:r>
      <w:r w:rsidR="00E75675" w:rsidRPr="00E75675">
        <w:t>);</w:t>
      </w:r>
    </w:p>
    <w:p w14:paraId="3F6437E5" w14:textId="77777777" w:rsidR="002E3768" w:rsidRDefault="002E3768" w:rsidP="002530D7">
      <w:pPr>
        <w:pStyle w:val="a3"/>
        <w:spacing w:line="240" w:lineRule="auto"/>
        <w:ind w:left="1080"/>
        <w:jc w:val="both"/>
      </w:pPr>
    </w:p>
    <w:p w14:paraId="02C12715" w14:textId="64E3E0F9" w:rsidR="00E75675" w:rsidRDefault="008B4FCC" w:rsidP="002530D7">
      <w:pPr>
        <w:pStyle w:val="a3"/>
        <w:numPr>
          <w:ilvl w:val="0"/>
          <w:numId w:val="20"/>
        </w:numPr>
        <w:spacing w:line="240" w:lineRule="auto"/>
        <w:jc w:val="both"/>
      </w:pPr>
      <w:r>
        <w:t>transmission of</w:t>
      </w:r>
      <w:r w:rsidRPr="00E75675">
        <w:t xml:space="preserve"> </w:t>
      </w:r>
      <w:r w:rsidR="00E75675" w:rsidRPr="00E75675">
        <w:t>funds (</w:t>
      </w:r>
      <w:proofErr w:type="gramStart"/>
      <w:r w:rsidR="00D64638">
        <w:t>i.e.</w:t>
      </w:r>
      <w:proofErr w:type="gramEnd"/>
      <w:r w:rsidR="00D64638">
        <w:t xml:space="preserve"> ensuring the accurate and final </w:t>
      </w:r>
      <w:r w:rsidR="00E75675" w:rsidRPr="00E75675">
        <w:t xml:space="preserve">settlement </w:t>
      </w:r>
      <w:r w:rsidR="00D64638">
        <w:t xml:space="preserve">of transactions to </w:t>
      </w:r>
      <w:proofErr w:type="spellStart"/>
      <w:r w:rsidR="00D64638">
        <w:t>minimise</w:t>
      </w:r>
      <w:proofErr w:type="spellEnd"/>
      <w:r w:rsidR="00D64638">
        <w:t xml:space="preserve"> the risk of default by counterparties</w:t>
      </w:r>
      <w:r w:rsidR="00E75675" w:rsidRPr="00E75675">
        <w:t>);</w:t>
      </w:r>
      <w:r w:rsidR="00E75675">
        <w:t xml:space="preserve"> </w:t>
      </w:r>
      <w:r w:rsidR="00E75675" w:rsidRPr="00E75675">
        <w:t>and</w:t>
      </w:r>
    </w:p>
    <w:p w14:paraId="470510C4" w14:textId="77777777" w:rsidR="002E3768" w:rsidRDefault="002E3768" w:rsidP="002530D7">
      <w:pPr>
        <w:pStyle w:val="a3"/>
        <w:spacing w:line="240" w:lineRule="auto"/>
        <w:ind w:left="1080"/>
        <w:jc w:val="both"/>
      </w:pPr>
    </w:p>
    <w:p w14:paraId="28611BA1" w14:textId="06AC5FAD" w:rsidR="00E75675" w:rsidRDefault="008B4FCC" w:rsidP="002530D7">
      <w:pPr>
        <w:pStyle w:val="a3"/>
        <w:numPr>
          <w:ilvl w:val="0"/>
          <w:numId w:val="20"/>
        </w:numPr>
        <w:spacing w:line="240" w:lineRule="auto"/>
        <w:jc w:val="both"/>
      </w:pPr>
      <w:r>
        <w:t>executing</w:t>
      </w:r>
      <w:r w:rsidRPr="00E75675">
        <w:t xml:space="preserve"> </w:t>
      </w:r>
      <w:r w:rsidR="00E75675" w:rsidRPr="00E75675">
        <w:t xml:space="preserve">transactions in </w:t>
      </w:r>
      <w:proofErr w:type="spellStart"/>
      <w:r w:rsidR="00E75675" w:rsidRPr="00E75675">
        <w:t>stablecoins</w:t>
      </w:r>
      <w:proofErr w:type="spellEnd"/>
      <w:r w:rsidR="00E75675" w:rsidRPr="00E75675">
        <w:t xml:space="preserve"> (including</w:t>
      </w:r>
      <w:r w:rsidR="00836B87">
        <w:t xml:space="preserve"> conducting</w:t>
      </w:r>
      <w:r w:rsidR="00E75675" w:rsidRPr="00E75675">
        <w:t xml:space="preserve"> transactions on behalf of others).</w:t>
      </w:r>
    </w:p>
    <w:p w14:paraId="306DB399" w14:textId="77777777" w:rsidR="0056397B" w:rsidRDefault="0056397B" w:rsidP="002530D7">
      <w:pPr>
        <w:pStyle w:val="a3"/>
        <w:spacing w:line="240" w:lineRule="auto"/>
        <w:ind w:left="1080"/>
        <w:jc w:val="both"/>
      </w:pPr>
    </w:p>
    <w:p w14:paraId="5792AF89" w14:textId="698A2F22" w:rsidR="00923AA1" w:rsidRPr="00AC13ED" w:rsidRDefault="0056397B" w:rsidP="002530D7">
      <w:pPr>
        <w:pStyle w:val="a3"/>
        <w:numPr>
          <w:ilvl w:val="0"/>
          <w:numId w:val="22"/>
        </w:numPr>
        <w:spacing w:line="240" w:lineRule="auto"/>
        <w:ind w:left="426" w:hanging="426"/>
        <w:rPr>
          <w:b/>
          <w:bCs/>
        </w:rPr>
      </w:pPr>
      <w:r w:rsidRPr="00AC13ED">
        <w:rPr>
          <w:b/>
        </w:rPr>
        <w:t xml:space="preserve">HKMA </w:t>
      </w:r>
      <w:proofErr w:type="spellStart"/>
      <w:r w:rsidRPr="0056397B">
        <w:rPr>
          <w:b/>
          <w:bCs/>
        </w:rPr>
        <w:t>a</w:t>
      </w:r>
      <w:r w:rsidR="00407ECC" w:rsidRPr="00AC13ED">
        <w:rPr>
          <w:b/>
          <w:bCs/>
        </w:rPr>
        <w:t>uthorisation</w:t>
      </w:r>
      <w:proofErr w:type="spellEnd"/>
      <w:r w:rsidR="00407ECC" w:rsidRPr="00AC13ED">
        <w:rPr>
          <w:b/>
          <w:bCs/>
        </w:rPr>
        <w:t xml:space="preserve"> and </w:t>
      </w:r>
      <w:r>
        <w:rPr>
          <w:b/>
          <w:bCs/>
        </w:rPr>
        <w:t>r</w:t>
      </w:r>
      <w:r w:rsidR="00407ECC" w:rsidRPr="00AC13ED">
        <w:rPr>
          <w:b/>
          <w:bCs/>
        </w:rPr>
        <w:t xml:space="preserve">egulatory </w:t>
      </w:r>
      <w:r>
        <w:rPr>
          <w:b/>
          <w:bCs/>
        </w:rPr>
        <w:t>r</w:t>
      </w:r>
      <w:r w:rsidR="00407ECC" w:rsidRPr="00AC13ED">
        <w:rPr>
          <w:b/>
          <w:bCs/>
        </w:rPr>
        <w:t>equirements</w:t>
      </w:r>
    </w:p>
    <w:p w14:paraId="3164EF84" w14:textId="77777777" w:rsidR="00F077ED" w:rsidRDefault="00F077ED" w:rsidP="002530D7">
      <w:pPr>
        <w:spacing w:line="240" w:lineRule="auto"/>
        <w:jc w:val="both"/>
      </w:pPr>
      <w:r>
        <w:t>The HKMA’s third discussion question is:</w:t>
      </w:r>
    </w:p>
    <w:p w14:paraId="08455F24" w14:textId="3E765A13" w:rsidR="00F077ED" w:rsidRDefault="00F077ED" w:rsidP="002530D7">
      <w:pPr>
        <w:tabs>
          <w:tab w:val="left" w:pos="426"/>
        </w:tabs>
        <w:spacing w:line="240" w:lineRule="auto"/>
        <w:ind w:left="426"/>
        <w:jc w:val="both"/>
      </w:pPr>
      <w:r>
        <w:t>“</w:t>
      </w:r>
      <w:r w:rsidRPr="00AC13ED">
        <w:rPr>
          <w:i/>
        </w:rPr>
        <w:t xml:space="preserve">What kind of </w:t>
      </w:r>
      <w:proofErr w:type="spellStart"/>
      <w:r w:rsidRPr="00AC13ED">
        <w:rPr>
          <w:i/>
        </w:rPr>
        <w:t>authorisation</w:t>
      </w:r>
      <w:proofErr w:type="spellEnd"/>
      <w:r w:rsidRPr="00AC13ED">
        <w:rPr>
          <w:i/>
        </w:rPr>
        <w:t xml:space="preserve"> and regulatory requirements would be envisaged for those entities subject to the new licensing regime</w:t>
      </w:r>
      <w:r>
        <w:t>?</w:t>
      </w:r>
      <w:r w:rsidR="00B116FA">
        <w:t>”</w:t>
      </w:r>
    </w:p>
    <w:p w14:paraId="7E7F8585" w14:textId="77777777" w:rsidR="003F6C5D" w:rsidRDefault="008D485B" w:rsidP="002530D7">
      <w:pPr>
        <w:spacing w:after="0" w:line="240" w:lineRule="auto"/>
        <w:jc w:val="both"/>
      </w:pPr>
      <w:r w:rsidRPr="008D485B">
        <w:lastRenderedPageBreak/>
        <w:t xml:space="preserve">The HKMA proposes to apply high-level regulatory requirements to </w:t>
      </w:r>
      <w:proofErr w:type="spellStart"/>
      <w:r w:rsidRPr="008D485B">
        <w:t>stablecoin</w:t>
      </w:r>
      <w:proofErr w:type="spellEnd"/>
      <w:r w:rsidR="002071DE">
        <w:t>-related activities</w:t>
      </w:r>
      <w:r w:rsidRPr="008D485B">
        <w:t>. These w</w:t>
      </w:r>
      <w:r w:rsidR="00F077ED">
        <w:t>ould</w:t>
      </w:r>
      <w:r w:rsidRPr="008D485B">
        <w:t xml:space="preserve"> be </w:t>
      </w:r>
      <w:r w:rsidR="00F077ED">
        <w:t xml:space="preserve">applied using </w:t>
      </w:r>
      <w:r w:rsidRPr="008D485B">
        <w:t xml:space="preserve">a risk-based approach, rather than </w:t>
      </w:r>
      <w:r w:rsidR="00EC1C76">
        <w:t>o</w:t>
      </w:r>
      <w:r w:rsidRPr="008D485B">
        <w:t xml:space="preserve">n a one-size-fits-all </w:t>
      </w:r>
      <w:r w:rsidR="00EC1C76">
        <w:t>basis</w:t>
      </w:r>
      <w:r w:rsidRPr="008D485B">
        <w:t xml:space="preserve">. </w:t>
      </w:r>
      <w:r w:rsidR="00F077ED">
        <w:t xml:space="preserve">Since multiple </w:t>
      </w:r>
      <w:r w:rsidRPr="008D485B">
        <w:t xml:space="preserve">entities </w:t>
      </w:r>
      <w:r w:rsidR="00F077ED">
        <w:t xml:space="preserve">are often involved in a </w:t>
      </w:r>
      <w:proofErr w:type="spellStart"/>
      <w:r w:rsidR="00F077ED">
        <w:t>stablecoin</w:t>
      </w:r>
      <w:proofErr w:type="spellEnd"/>
      <w:r w:rsidR="00F077ED">
        <w:t xml:space="preserve"> arrangement, </w:t>
      </w:r>
      <w:r w:rsidR="009F513E">
        <w:t xml:space="preserve">the entities involved </w:t>
      </w:r>
      <w:r w:rsidRPr="008D485B">
        <w:t xml:space="preserve">could be subject to part or all of the requirements, depending on the actual </w:t>
      </w:r>
      <w:proofErr w:type="spellStart"/>
      <w:r w:rsidRPr="008D485B">
        <w:t>stablecoin</w:t>
      </w:r>
      <w:proofErr w:type="spellEnd"/>
      <w:r w:rsidRPr="008D485B">
        <w:t xml:space="preserve">-related </w:t>
      </w:r>
      <w:r w:rsidR="009F513E">
        <w:t>servic</w:t>
      </w:r>
      <w:r w:rsidRPr="008D485B">
        <w:t xml:space="preserve">es they </w:t>
      </w:r>
      <w:r w:rsidR="000F7AD1">
        <w:t>offer</w:t>
      </w:r>
      <w:r w:rsidRPr="008D485B">
        <w:t>.</w:t>
      </w:r>
    </w:p>
    <w:p w14:paraId="7D32340D" w14:textId="77777777" w:rsidR="003F6C5D" w:rsidRDefault="003F6C5D" w:rsidP="002530D7">
      <w:pPr>
        <w:spacing w:after="0" w:line="240" w:lineRule="auto"/>
        <w:jc w:val="both"/>
      </w:pPr>
    </w:p>
    <w:p w14:paraId="685C7163" w14:textId="77777777" w:rsidR="003F6C5D" w:rsidRDefault="00407ECC" w:rsidP="002530D7">
      <w:pPr>
        <w:spacing w:after="0" w:line="240" w:lineRule="auto"/>
        <w:jc w:val="both"/>
      </w:pPr>
      <w:proofErr w:type="spellStart"/>
      <w:r w:rsidRPr="00407ECC">
        <w:rPr>
          <w:b/>
          <w:bCs/>
          <w:i/>
          <w:iCs/>
        </w:rPr>
        <w:t>Authorisation</w:t>
      </w:r>
      <w:proofErr w:type="spellEnd"/>
      <w:r w:rsidRPr="00407ECC">
        <w:rPr>
          <w:b/>
          <w:bCs/>
          <w:i/>
          <w:iCs/>
        </w:rPr>
        <w:t xml:space="preserve"> requirements</w:t>
      </w:r>
    </w:p>
    <w:p w14:paraId="3D76D1C9" w14:textId="77777777" w:rsidR="003F6C5D" w:rsidRDefault="003F6C5D" w:rsidP="002530D7">
      <w:pPr>
        <w:spacing w:after="0" w:line="240" w:lineRule="auto"/>
        <w:jc w:val="both"/>
      </w:pPr>
    </w:p>
    <w:p w14:paraId="48CD3585" w14:textId="77777777" w:rsidR="003F6C5D" w:rsidRDefault="00077427" w:rsidP="002530D7">
      <w:pPr>
        <w:spacing w:after="0" w:line="240" w:lineRule="auto"/>
        <w:jc w:val="both"/>
      </w:pPr>
      <w:r w:rsidRPr="00077427">
        <w:t>Under the new licensing regime, entit</w:t>
      </w:r>
      <w:r w:rsidR="009F513E">
        <w:t>ies</w:t>
      </w:r>
      <w:r w:rsidRPr="00077427">
        <w:t xml:space="preserve"> wishing to conduct </w:t>
      </w:r>
      <w:r w:rsidR="009F513E">
        <w:t xml:space="preserve">certain </w:t>
      </w:r>
      <w:r w:rsidRPr="00077427">
        <w:t xml:space="preserve">activities </w:t>
      </w:r>
      <w:r w:rsidR="009F513E">
        <w:t xml:space="preserve">crucial to the operation of a </w:t>
      </w:r>
      <w:proofErr w:type="spellStart"/>
      <w:r w:rsidRPr="00077427">
        <w:t>stablecoin</w:t>
      </w:r>
      <w:proofErr w:type="spellEnd"/>
      <w:r w:rsidR="009F513E">
        <w:t xml:space="preserve"> arrangement</w:t>
      </w:r>
      <w:r w:rsidRPr="00077427">
        <w:t xml:space="preserve"> will </w:t>
      </w:r>
      <w:r w:rsidR="009F513E">
        <w:t xml:space="preserve">need to be </w:t>
      </w:r>
      <w:proofErr w:type="spellStart"/>
      <w:r w:rsidR="002E06A7">
        <w:t>authoris</w:t>
      </w:r>
      <w:r w:rsidR="009F513E">
        <w:t>ed</w:t>
      </w:r>
      <w:proofErr w:type="spellEnd"/>
      <w:r w:rsidR="002E06A7">
        <w:t xml:space="preserve"> </w:t>
      </w:r>
      <w:r w:rsidR="009F513E">
        <w:t>by</w:t>
      </w:r>
      <w:r w:rsidR="002E06A7">
        <w:t xml:space="preserve"> the HKMA</w:t>
      </w:r>
      <w:r w:rsidRPr="00077427">
        <w:t xml:space="preserve">. The HKMA will develop these </w:t>
      </w:r>
      <w:proofErr w:type="spellStart"/>
      <w:r w:rsidRPr="00077427">
        <w:t>authorisation</w:t>
      </w:r>
      <w:proofErr w:type="spellEnd"/>
      <w:r w:rsidRPr="00077427">
        <w:t xml:space="preserve"> requirements in law</w:t>
      </w:r>
      <w:r w:rsidR="0016474B">
        <w:t>,</w:t>
      </w:r>
      <w:r w:rsidRPr="00077427">
        <w:t xml:space="preserve"> and </w:t>
      </w:r>
      <w:r w:rsidR="0016474B">
        <w:t xml:space="preserve">relevant </w:t>
      </w:r>
      <w:r w:rsidRPr="00077427">
        <w:t xml:space="preserve">licensed institutions </w:t>
      </w:r>
      <w:r w:rsidR="0016474B">
        <w:t>will be</w:t>
      </w:r>
      <w:r w:rsidR="0016474B" w:rsidRPr="00077427">
        <w:t xml:space="preserve"> </w:t>
      </w:r>
      <w:r w:rsidRPr="00077427">
        <w:t xml:space="preserve">expected to comply with the </w:t>
      </w:r>
      <w:proofErr w:type="spellStart"/>
      <w:r w:rsidRPr="00077427">
        <w:t>authorisation</w:t>
      </w:r>
      <w:proofErr w:type="spellEnd"/>
      <w:r w:rsidRPr="00077427">
        <w:t xml:space="preserve"> requirements on an ongoing basis after </w:t>
      </w:r>
      <w:proofErr w:type="spellStart"/>
      <w:r w:rsidRPr="00077427">
        <w:t>authorisation</w:t>
      </w:r>
      <w:proofErr w:type="spellEnd"/>
      <w:r w:rsidRPr="00077427">
        <w:t xml:space="preserve"> to </w:t>
      </w:r>
      <w:r w:rsidR="009F513E">
        <w:t xml:space="preserve">ensure </w:t>
      </w:r>
      <w:r w:rsidRPr="00077427">
        <w:t>the safety and soundness of the scheme at all times.</w:t>
      </w:r>
    </w:p>
    <w:p w14:paraId="038B039D" w14:textId="77777777" w:rsidR="003F6C5D" w:rsidRDefault="003F6C5D" w:rsidP="002530D7">
      <w:pPr>
        <w:spacing w:after="0" w:line="240" w:lineRule="auto"/>
        <w:jc w:val="both"/>
      </w:pPr>
    </w:p>
    <w:p w14:paraId="336D866C" w14:textId="77777777" w:rsidR="003F6C5D" w:rsidRDefault="00407ECC" w:rsidP="002530D7">
      <w:pPr>
        <w:spacing w:after="0" w:line="240" w:lineRule="auto"/>
        <w:jc w:val="both"/>
      </w:pPr>
      <w:r w:rsidRPr="00407ECC">
        <w:rPr>
          <w:b/>
          <w:bCs/>
          <w:i/>
          <w:iCs/>
        </w:rPr>
        <w:t>Regulatory requirements</w:t>
      </w:r>
    </w:p>
    <w:p w14:paraId="0BCAA8C4" w14:textId="77777777" w:rsidR="003F6C5D" w:rsidRDefault="003F6C5D" w:rsidP="002530D7">
      <w:pPr>
        <w:spacing w:after="0" w:line="240" w:lineRule="auto"/>
        <w:jc w:val="both"/>
      </w:pPr>
    </w:p>
    <w:p w14:paraId="38F6A0FA" w14:textId="78B91E46" w:rsidR="00101E1A" w:rsidRDefault="00101E1A" w:rsidP="002530D7">
      <w:pPr>
        <w:spacing w:line="240" w:lineRule="auto"/>
        <w:jc w:val="both"/>
      </w:pPr>
      <w:r>
        <w:t xml:space="preserve">The HKMA proposes to impose regulatory requirements on entities conducting </w:t>
      </w:r>
      <w:proofErr w:type="spellStart"/>
      <w:r>
        <w:t>stablecoin</w:t>
      </w:r>
      <w:proofErr w:type="spellEnd"/>
      <w:r>
        <w:t>-related activities, which may be varied where appropriate, including:</w:t>
      </w:r>
    </w:p>
    <w:p w14:paraId="688A736E" w14:textId="77777777" w:rsidR="00101E1A" w:rsidRPr="00AC13ED" w:rsidRDefault="00101E1A" w:rsidP="002530D7">
      <w:pPr>
        <w:pStyle w:val="a3"/>
        <w:numPr>
          <w:ilvl w:val="0"/>
          <w:numId w:val="21"/>
        </w:numPr>
        <w:spacing w:line="240" w:lineRule="auto"/>
        <w:ind w:left="851" w:hanging="425"/>
        <w:jc w:val="both"/>
        <w:rPr>
          <w:u w:val="single"/>
        </w:rPr>
      </w:pPr>
      <w:r w:rsidRPr="00AC13ED">
        <w:rPr>
          <w:u w:val="single"/>
        </w:rPr>
        <w:t>Prudential requirements</w:t>
      </w:r>
    </w:p>
    <w:p w14:paraId="227B3049" w14:textId="4777A82F" w:rsidR="00B27E6D" w:rsidRDefault="00B27E6D" w:rsidP="002530D7">
      <w:pPr>
        <w:spacing w:line="240" w:lineRule="auto"/>
        <w:jc w:val="both"/>
      </w:pPr>
      <w:r>
        <w:t xml:space="preserve">Licensed entities will be required to </w:t>
      </w:r>
      <w:r w:rsidR="004E5AB4">
        <w:t>have adequate financial resources and liquidity</w:t>
      </w:r>
      <w:r w:rsidR="009F513E">
        <w:t xml:space="preserve"> and</w:t>
      </w:r>
      <w:r w:rsidR="00DA5B51">
        <w:t xml:space="preserve"> </w:t>
      </w:r>
      <w:r w:rsidR="004E5AB4">
        <w:t xml:space="preserve">will be required to </w:t>
      </w:r>
      <w:r>
        <w:t>manage capital and liquidity adequate</w:t>
      </w:r>
      <w:r w:rsidR="009F513E">
        <w:t>ly</w:t>
      </w:r>
      <w:r>
        <w:t xml:space="preserve"> and </w:t>
      </w:r>
      <w:r w:rsidR="00F03528">
        <w:t>effective</w:t>
      </w:r>
      <w:r w:rsidR="009F513E">
        <w:t>ly</w:t>
      </w:r>
      <w:r w:rsidR="00F03528">
        <w:t xml:space="preserve"> </w:t>
      </w:r>
      <w:r w:rsidR="009F513E">
        <w:t>to protect users and financial stability</w:t>
      </w:r>
      <w:r w:rsidR="00F03528">
        <w:t>.</w:t>
      </w:r>
    </w:p>
    <w:p w14:paraId="6AF81484" w14:textId="77777777" w:rsidR="00101E1A" w:rsidRPr="00AC13ED" w:rsidRDefault="00101E1A" w:rsidP="002530D7">
      <w:pPr>
        <w:pStyle w:val="a3"/>
        <w:numPr>
          <w:ilvl w:val="0"/>
          <w:numId w:val="21"/>
        </w:numPr>
        <w:tabs>
          <w:tab w:val="left" w:pos="851"/>
        </w:tabs>
        <w:spacing w:line="240" w:lineRule="auto"/>
        <w:jc w:val="both"/>
        <w:rPr>
          <w:u w:val="single"/>
        </w:rPr>
      </w:pPr>
      <w:r w:rsidRPr="00AC13ED">
        <w:rPr>
          <w:u w:val="single"/>
        </w:rPr>
        <w:t>Fit and proper test</w:t>
      </w:r>
      <w:r w:rsidR="009F513E" w:rsidRPr="00AC13ED">
        <w:rPr>
          <w:u w:val="single"/>
        </w:rPr>
        <w:t xml:space="preserve"> for management and owners</w:t>
      </w:r>
    </w:p>
    <w:p w14:paraId="4A380E67" w14:textId="77777777" w:rsidR="00B27E6D" w:rsidRDefault="00F03528" w:rsidP="002530D7">
      <w:pPr>
        <w:spacing w:line="240" w:lineRule="auto"/>
        <w:jc w:val="both"/>
      </w:pPr>
      <w:r>
        <w:t>The controllers (including shareholder controllers and indirect controllers) and senior management of licensed entities will need to meet a fit-and-proper test.</w:t>
      </w:r>
    </w:p>
    <w:p w14:paraId="638D6865" w14:textId="77777777" w:rsidR="00101E1A" w:rsidRPr="00AC13ED" w:rsidRDefault="00101E1A" w:rsidP="002530D7">
      <w:pPr>
        <w:pStyle w:val="a3"/>
        <w:numPr>
          <w:ilvl w:val="0"/>
          <w:numId w:val="21"/>
        </w:numPr>
        <w:tabs>
          <w:tab w:val="left" w:pos="851"/>
        </w:tabs>
        <w:spacing w:line="240" w:lineRule="auto"/>
        <w:jc w:val="both"/>
        <w:rPr>
          <w:u w:val="single"/>
        </w:rPr>
      </w:pPr>
      <w:r w:rsidRPr="00AC13ED">
        <w:rPr>
          <w:u w:val="single"/>
        </w:rPr>
        <w:t>Maintenance and management of reserves of backing assets</w:t>
      </w:r>
    </w:p>
    <w:p w14:paraId="42EAE8DF" w14:textId="0C4FCB74" w:rsidR="00B27E6D" w:rsidRDefault="00F03528" w:rsidP="002530D7">
      <w:pPr>
        <w:spacing w:line="240" w:lineRule="auto"/>
        <w:jc w:val="both"/>
      </w:pPr>
      <w:r>
        <w:t xml:space="preserve">Licensed entities will </w:t>
      </w:r>
      <w:r w:rsidR="00DA5B51">
        <w:t xml:space="preserve">be required </w:t>
      </w:r>
      <w:r w:rsidR="00AF2BAF">
        <w:t xml:space="preserve">to comply with requirements </w:t>
      </w:r>
      <w:r w:rsidR="006775CA">
        <w:t xml:space="preserve">regarding </w:t>
      </w:r>
      <w:r w:rsidR="00AF2BAF">
        <w:t xml:space="preserve">the nature and sufficiency of the </w:t>
      </w:r>
      <w:proofErr w:type="spellStart"/>
      <w:r w:rsidR="00AF2BAF">
        <w:t>stablecoin</w:t>
      </w:r>
      <w:proofErr w:type="spellEnd"/>
      <w:r w:rsidR="00AF2BAF">
        <w:t xml:space="preserve"> arrangement’s reserve assets to </w:t>
      </w:r>
      <w:r w:rsidR="006775CA">
        <w:t xml:space="preserve">support </w:t>
      </w:r>
      <w:r w:rsidR="00AF2BAF">
        <w:t xml:space="preserve">and </w:t>
      </w:r>
      <w:proofErr w:type="spellStart"/>
      <w:r w:rsidR="00AF2BAF">
        <w:t>stabilise</w:t>
      </w:r>
      <w:proofErr w:type="spellEnd"/>
      <w:r w:rsidR="00AF2BAF">
        <w:t xml:space="preserve"> the value of the outstanding stock of </w:t>
      </w:r>
      <w:proofErr w:type="spellStart"/>
      <w:r w:rsidR="00AF2BAF">
        <w:t>stablecoins</w:t>
      </w:r>
      <w:proofErr w:type="spellEnd"/>
      <w:r w:rsidR="00AF2BAF">
        <w:t xml:space="preserve">. </w:t>
      </w:r>
      <w:r w:rsidR="00DF7A07">
        <w:t xml:space="preserve">They will </w:t>
      </w:r>
      <w:r w:rsidR="00AF2BAF">
        <w:t xml:space="preserve">also </w:t>
      </w:r>
      <w:r w:rsidR="00DF7A07">
        <w:t xml:space="preserve">be subject to </w:t>
      </w:r>
      <w:r w:rsidR="00AF2BAF">
        <w:t xml:space="preserve">requirements </w:t>
      </w:r>
      <w:r w:rsidR="006F0679">
        <w:t xml:space="preserve">to ensure the clarity and enforceability of legal claims, </w:t>
      </w:r>
      <w:r w:rsidR="006775CA">
        <w:t xml:space="preserve">the </w:t>
      </w:r>
      <w:r w:rsidR="006F0679">
        <w:t xml:space="preserve">titles, interests and other rights of </w:t>
      </w:r>
      <w:proofErr w:type="spellStart"/>
      <w:r w:rsidR="006F0679">
        <w:t>stablecoin</w:t>
      </w:r>
      <w:proofErr w:type="spellEnd"/>
      <w:r w:rsidR="006F0679">
        <w:t xml:space="preserve"> holders in relation to the </w:t>
      </w:r>
      <w:proofErr w:type="spellStart"/>
      <w:r w:rsidR="006F0679">
        <w:t>stablecoin</w:t>
      </w:r>
      <w:proofErr w:type="spellEnd"/>
      <w:r w:rsidR="006F0679">
        <w:t xml:space="preserve"> issuer and the reserve assets</w:t>
      </w:r>
      <w:r w:rsidR="006775CA">
        <w:t xml:space="preserve"> backing it</w:t>
      </w:r>
      <w:r w:rsidR="006F0679">
        <w:t>.</w:t>
      </w:r>
    </w:p>
    <w:p w14:paraId="48F4885B" w14:textId="6C3CC87A" w:rsidR="00101E1A" w:rsidRPr="00AC13ED" w:rsidRDefault="006775CA" w:rsidP="002530D7">
      <w:pPr>
        <w:pStyle w:val="a3"/>
        <w:numPr>
          <w:ilvl w:val="0"/>
          <w:numId w:val="21"/>
        </w:numPr>
        <w:tabs>
          <w:tab w:val="left" w:pos="851"/>
        </w:tabs>
        <w:spacing w:line="240" w:lineRule="auto"/>
        <w:jc w:val="both"/>
        <w:rPr>
          <w:u w:val="single"/>
        </w:rPr>
      </w:pPr>
      <w:r>
        <w:rPr>
          <w:u w:val="single"/>
        </w:rPr>
        <w:t>Systems, controls, governance and r</w:t>
      </w:r>
      <w:r w:rsidR="00101E1A" w:rsidRPr="00AC13ED">
        <w:rPr>
          <w:u w:val="single"/>
        </w:rPr>
        <w:t>isk management</w:t>
      </w:r>
      <w:r w:rsidR="008D57AB" w:rsidRPr="00AC13ED">
        <w:rPr>
          <w:u w:val="single"/>
        </w:rPr>
        <w:t xml:space="preserve"> requirements</w:t>
      </w:r>
    </w:p>
    <w:p w14:paraId="681FE0A0" w14:textId="7CC4E652" w:rsidR="00B27E6D" w:rsidRDefault="00F6295F" w:rsidP="002530D7">
      <w:pPr>
        <w:spacing w:line="240" w:lineRule="auto"/>
        <w:jc w:val="both"/>
      </w:pPr>
      <w:r>
        <w:t xml:space="preserve">Licensed entities will </w:t>
      </w:r>
      <w:r w:rsidR="00DA5B51">
        <w:t>be required</w:t>
      </w:r>
      <w:r w:rsidR="00DA5B51" w:rsidDel="00DA5B51">
        <w:t xml:space="preserve"> </w:t>
      </w:r>
      <w:r>
        <w:t xml:space="preserve">to put in place a sound risk-management framework </w:t>
      </w:r>
      <w:r w:rsidR="00AA7608">
        <w:t xml:space="preserve">to </w:t>
      </w:r>
      <w:r>
        <w:t>comprehensive</w:t>
      </w:r>
      <w:r w:rsidR="00AA7608">
        <w:t>ly</w:t>
      </w:r>
      <w:r>
        <w:t xml:space="preserve"> manage legal, credit, liquidity, operational, AML and other risks of the </w:t>
      </w:r>
      <w:proofErr w:type="spellStart"/>
      <w:r>
        <w:t>stablecoin</w:t>
      </w:r>
      <w:proofErr w:type="spellEnd"/>
      <w:r>
        <w:t xml:space="preserve"> arrangement. The </w:t>
      </w:r>
      <w:proofErr w:type="spellStart"/>
      <w:r>
        <w:t>stablecoin</w:t>
      </w:r>
      <w:proofErr w:type="spellEnd"/>
      <w:r>
        <w:t xml:space="preserve"> arrangement’s ownership structure and operation </w:t>
      </w:r>
      <w:r w:rsidR="00AA7608">
        <w:t>will need to</w:t>
      </w:r>
      <w:r>
        <w:t xml:space="preserve"> </w:t>
      </w:r>
      <w:r w:rsidR="00AA7608">
        <w:t>feature</w:t>
      </w:r>
      <w:r w:rsidR="00242F49">
        <w:t xml:space="preserve"> clear and direct lines of responsibility and accountability, especially when it is owned and administered by one or more </w:t>
      </w:r>
      <w:r w:rsidR="00FE23E6">
        <w:t xml:space="preserve">responsible </w:t>
      </w:r>
      <w:r w:rsidR="00242F49">
        <w:t>legal entities.</w:t>
      </w:r>
    </w:p>
    <w:p w14:paraId="29F9449A" w14:textId="77777777" w:rsidR="00101E1A" w:rsidRPr="00AC13ED" w:rsidRDefault="00101E1A" w:rsidP="002530D7">
      <w:pPr>
        <w:pStyle w:val="a3"/>
        <w:numPr>
          <w:ilvl w:val="0"/>
          <w:numId w:val="21"/>
        </w:numPr>
        <w:tabs>
          <w:tab w:val="left" w:pos="851"/>
        </w:tabs>
        <w:spacing w:line="240" w:lineRule="auto"/>
        <w:jc w:val="both"/>
        <w:rPr>
          <w:u w:val="single"/>
        </w:rPr>
      </w:pPr>
      <w:r w:rsidRPr="00AC13ED">
        <w:rPr>
          <w:u w:val="single"/>
        </w:rPr>
        <w:t>AML/CFT requirements</w:t>
      </w:r>
    </w:p>
    <w:p w14:paraId="5AC97FB1" w14:textId="28C4E2EF" w:rsidR="00B27E6D" w:rsidRDefault="00242F49" w:rsidP="002530D7">
      <w:pPr>
        <w:spacing w:line="240" w:lineRule="auto"/>
        <w:jc w:val="both"/>
      </w:pPr>
      <w:r>
        <w:t>Licensed entities will be required to comply with AML/CFT rules.</w:t>
      </w:r>
    </w:p>
    <w:p w14:paraId="7F348888" w14:textId="77777777" w:rsidR="00101E1A" w:rsidRPr="00AC13ED" w:rsidRDefault="00101E1A" w:rsidP="002530D7">
      <w:pPr>
        <w:pStyle w:val="a3"/>
        <w:numPr>
          <w:ilvl w:val="0"/>
          <w:numId w:val="21"/>
        </w:numPr>
        <w:tabs>
          <w:tab w:val="left" w:pos="851"/>
        </w:tabs>
        <w:spacing w:line="240" w:lineRule="auto"/>
        <w:jc w:val="both"/>
        <w:rPr>
          <w:u w:val="single"/>
        </w:rPr>
      </w:pPr>
      <w:r w:rsidRPr="00AC13ED">
        <w:rPr>
          <w:u w:val="single"/>
        </w:rPr>
        <w:t>Redemption requirements</w:t>
      </w:r>
    </w:p>
    <w:p w14:paraId="1D66C471" w14:textId="2442AA24" w:rsidR="00B27E6D" w:rsidRDefault="00F70A81" w:rsidP="002530D7">
      <w:pPr>
        <w:spacing w:line="240" w:lineRule="auto"/>
        <w:jc w:val="both"/>
      </w:pPr>
      <w:r>
        <w:t xml:space="preserve">Licensed entities will </w:t>
      </w:r>
      <w:r w:rsidR="00152A00">
        <w:t>need</w:t>
      </w:r>
      <w:r>
        <w:t xml:space="preserve"> to ensure the clarity, robustness, and timeliness of the process for redeeming </w:t>
      </w:r>
      <w:proofErr w:type="spellStart"/>
      <w:r>
        <w:t>stablecoin</w:t>
      </w:r>
      <w:r w:rsidR="0059299C">
        <w:t>s</w:t>
      </w:r>
      <w:proofErr w:type="spellEnd"/>
      <w:r>
        <w:t xml:space="preserve"> for other liquid assets.</w:t>
      </w:r>
    </w:p>
    <w:p w14:paraId="0A8AE06C" w14:textId="77777777" w:rsidR="00101E1A" w:rsidRPr="00AC13ED" w:rsidRDefault="00101E1A" w:rsidP="002530D7">
      <w:pPr>
        <w:pStyle w:val="a3"/>
        <w:numPr>
          <w:ilvl w:val="0"/>
          <w:numId w:val="21"/>
        </w:numPr>
        <w:tabs>
          <w:tab w:val="left" w:pos="851"/>
        </w:tabs>
        <w:spacing w:line="240" w:lineRule="auto"/>
        <w:jc w:val="both"/>
        <w:rPr>
          <w:u w:val="single"/>
        </w:rPr>
      </w:pPr>
      <w:r w:rsidRPr="00AC13ED">
        <w:rPr>
          <w:u w:val="single"/>
        </w:rPr>
        <w:t>Financial reporting and disclosure</w:t>
      </w:r>
      <w:r w:rsidR="00B63B1B" w:rsidRPr="00AC13ED">
        <w:rPr>
          <w:u w:val="single"/>
        </w:rPr>
        <w:t xml:space="preserve"> requirements</w:t>
      </w:r>
    </w:p>
    <w:p w14:paraId="0CD039A6" w14:textId="67C2A62B" w:rsidR="00B27E6D" w:rsidRDefault="00F70A81" w:rsidP="002530D7">
      <w:pPr>
        <w:spacing w:line="240" w:lineRule="auto"/>
        <w:jc w:val="both"/>
      </w:pPr>
      <w:r>
        <w:t xml:space="preserve">Licensed entities will </w:t>
      </w:r>
      <w:r w:rsidR="0059299C">
        <w:t xml:space="preserve">be required </w:t>
      </w:r>
      <w:r>
        <w:t>to make disclosure</w:t>
      </w:r>
      <w:r w:rsidR="00152A00">
        <w:t>s</w:t>
      </w:r>
      <w:r>
        <w:t xml:space="preserve"> to </w:t>
      </w:r>
      <w:r w:rsidR="004807BD">
        <w:t>regulator</w:t>
      </w:r>
      <w:r w:rsidR="0059299C">
        <w:t>(</w:t>
      </w:r>
      <w:r w:rsidR="004807BD">
        <w:t>s</w:t>
      </w:r>
      <w:r w:rsidR="0059299C">
        <w:t>)</w:t>
      </w:r>
      <w:r w:rsidR="004807BD">
        <w:t xml:space="preserve"> and users</w:t>
      </w:r>
      <w:r w:rsidR="00152A00">
        <w:t xml:space="preserve"> and</w:t>
      </w:r>
      <w:r w:rsidR="0059299C">
        <w:t xml:space="preserve"> </w:t>
      </w:r>
      <w:r w:rsidR="00152A00">
        <w:t>grant specified rights to</w:t>
      </w:r>
      <w:r w:rsidR="004807BD">
        <w:t xml:space="preserve"> users.</w:t>
      </w:r>
    </w:p>
    <w:p w14:paraId="2B404170" w14:textId="77777777" w:rsidR="00B27E6D" w:rsidRPr="00AC13ED" w:rsidRDefault="00101E1A" w:rsidP="002530D7">
      <w:pPr>
        <w:pStyle w:val="a3"/>
        <w:numPr>
          <w:ilvl w:val="0"/>
          <w:numId w:val="21"/>
        </w:numPr>
        <w:tabs>
          <w:tab w:val="left" w:pos="851"/>
        </w:tabs>
        <w:spacing w:line="240" w:lineRule="auto"/>
        <w:jc w:val="both"/>
        <w:rPr>
          <w:u w:val="single"/>
        </w:rPr>
      </w:pPr>
      <w:r w:rsidRPr="00AC13ED">
        <w:rPr>
          <w:u w:val="single"/>
        </w:rPr>
        <w:lastRenderedPageBreak/>
        <w:t>Safety, efficiency and secur</w:t>
      </w:r>
      <w:r w:rsidR="00B27E6D" w:rsidRPr="00AC13ED">
        <w:rPr>
          <w:u w:val="single"/>
        </w:rPr>
        <w:t>ity</w:t>
      </w:r>
      <w:r w:rsidR="00B63B1B" w:rsidRPr="00AC13ED">
        <w:rPr>
          <w:u w:val="single"/>
        </w:rPr>
        <w:t xml:space="preserve"> requirements</w:t>
      </w:r>
    </w:p>
    <w:p w14:paraId="5B1B3F00" w14:textId="316DA693" w:rsidR="00B27E6D" w:rsidRDefault="004807BD" w:rsidP="002530D7">
      <w:pPr>
        <w:spacing w:line="240" w:lineRule="auto"/>
        <w:jc w:val="both"/>
      </w:pPr>
      <w:r>
        <w:t xml:space="preserve">Licensed entities will </w:t>
      </w:r>
      <w:r w:rsidR="00B63B1B">
        <w:t xml:space="preserve">be required </w:t>
      </w:r>
      <w:r>
        <w:t xml:space="preserve">to put in place </w:t>
      </w:r>
      <w:r w:rsidR="005C1302">
        <w:t>sufficient safeguards against cybersecurity, operational and business continuity risks.</w:t>
      </w:r>
    </w:p>
    <w:p w14:paraId="3F4CD09F" w14:textId="77777777" w:rsidR="00B27E6D" w:rsidRPr="00AC13ED" w:rsidRDefault="00B27E6D" w:rsidP="002530D7">
      <w:pPr>
        <w:pStyle w:val="a3"/>
        <w:numPr>
          <w:ilvl w:val="0"/>
          <w:numId w:val="21"/>
        </w:numPr>
        <w:tabs>
          <w:tab w:val="left" w:pos="851"/>
        </w:tabs>
        <w:spacing w:line="240" w:lineRule="auto"/>
        <w:jc w:val="both"/>
        <w:rPr>
          <w:u w:val="single"/>
        </w:rPr>
      </w:pPr>
      <w:r w:rsidRPr="00AC13ED">
        <w:rPr>
          <w:u w:val="single"/>
        </w:rPr>
        <w:t>Settlement finality</w:t>
      </w:r>
    </w:p>
    <w:p w14:paraId="00EC33A4" w14:textId="71B43FCC" w:rsidR="00C737DE" w:rsidRDefault="00C737DE" w:rsidP="002530D7">
      <w:pPr>
        <w:spacing w:line="240" w:lineRule="auto"/>
        <w:jc w:val="both"/>
      </w:pPr>
      <w:r>
        <w:t xml:space="preserve">Licensed </w:t>
      </w:r>
      <w:r w:rsidR="00B63B1B">
        <w:t xml:space="preserve">entities </w:t>
      </w:r>
      <w:r w:rsidR="00152A00">
        <w:t xml:space="preserve">will need to </w:t>
      </w:r>
      <w:r w:rsidR="00B63B1B">
        <w:t xml:space="preserve">ensure that </w:t>
      </w:r>
      <w:r>
        <w:t xml:space="preserve">a </w:t>
      </w:r>
      <w:proofErr w:type="spellStart"/>
      <w:r>
        <w:t>stablecoin</w:t>
      </w:r>
      <w:proofErr w:type="spellEnd"/>
      <w:r>
        <w:t xml:space="preserve"> arrangement </w:t>
      </w:r>
      <w:r w:rsidR="00B63B1B">
        <w:t xml:space="preserve">provides for </w:t>
      </w:r>
      <w:r>
        <w:t xml:space="preserve">clear and final settlement </w:t>
      </w:r>
      <w:r w:rsidR="00B63B1B">
        <w:t>irrespective</w:t>
      </w:r>
      <w:r>
        <w:t xml:space="preserve"> of the operational settlement method </w:t>
      </w:r>
      <w:r w:rsidR="00B63B1B">
        <w:t>adopted</w:t>
      </w:r>
      <w:r>
        <w:t>.</w:t>
      </w:r>
    </w:p>
    <w:p w14:paraId="0085BFD2" w14:textId="48FAEE54" w:rsidR="007376CA" w:rsidRPr="00AC13ED" w:rsidRDefault="007376CA" w:rsidP="002530D7">
      <w:pPr>
        <w:pStyle w:val="a3"/>
        <w:numPr>
          <w:ilvl w:val="0"/>
          <w:numId w:val="22"/>
        </w:numPr>
        <w:spacing w:line="240" w:lineRule="auto"/>
        <w:ind w:left="426" w:hanging="426"/>
        <w:jc w:val="both"/>
        <w:rPr>
          <w:b/>
          <w:bCs/>
        </w:rPr>
      </w:pPr>
      <w:r w:rsidRPr="00AC13ED">
        <w:rPr>
          <w:b/>
          <w:bCs/>
        </w:rPr>
        <w:t xml:space="preserve">Licensing </w:t>
      </w:r>
      <w:r w:rsidR="00635442">
        <w:rPr>
          <w:b/>
          <w:bCs/>
        </w:rPr>
        <w:t>r</w:t>
      </w:r>
      <w:r w:rsidRPr="00AC13ED">
        <w:rPr>
          <w:b/>
          <w:bCs/>
        </w:rPr>
        <w:t>equirement</w:t>
      </w:r>
    </w:p>
    <w:p w14:paraId="261C9955" w14:textId="77777777" w:rsidR="0015603C" w:rsidRDefault="0015603C" w:rsidP="002530D7">
      <w:pPr>
        <w:spacing w:line="240" w:lineRule="auto"/>
        <w:jc w:val="both"/>
      </w:pPr>
      <w:r>
        <w:t>The HKMA’s fourth discussion question is:</w:t>
      </w:r>
    </w:p>
    <w:p w14:paraId="32332024" w14:textId="77777777" w:rsidR="0015603C" w:rsidRDefault="0015603C" w:rsidP="002530D7">
      <w:pPr>
        <w:tabs>
          <w:tab w:val="left" w:pos="426"/>
        </w:tabs>
        <w:spacing w:line="240" w:lineRule="auto"/>
        <w:jc w:val="both"/>
      </w:pPr>
      <w:r>
        <w:tab/>
        <w:t>“</w:t>
      </w:r>
      <w:r w:rsidRPr="00AC13ED">
        <w:rPr>
          <w:i/>
        </w:rPr>
        <w:t xml:space="preserve">What is the intended coverage as to who needs a </w:t>
      </w:r>
      <w:proofErr w:type="spellStart"/>
      <w:r w:rsidRPr="00AC13ED">
        <w:rPr>
          <w:i/>
        </w:rPr>
        <w:t>licence</w:t>
      </w:r>
      <w:proofErr w:type="spellEnd"/>
      <w:r w:rsidRPr="00AC13ED">
        <w:rPr>
          <w:i/>
        </w:rPr>
        <w:t xml:space="preserve"> under the intended regulatory regime?</w:t>
      </w:r>
      <w:r>
        <w:t>”</w:t>
      </w:r>
    </w:p>
    <w:p w14:paraId="6E64D07E" w14:textId="58169394" w:rsidR="007376CA" w:rsidRDefault="00A914C7" w:rsidP="002530D7">
      <w:pPr>
        <w:spacing w:line="240" w:lineRule="auto"/>
        <w:jc w:val="both"/>
      </w:pPr>
      <w:r>
        <w:t xml:space="preserve">The HKMA </w:t>
      </w:r>
      <w:r w:rsidR="0056397B">
        <w:t xml:space="preserve">is </w:t>
      </w:r>
      <w:r>
        <w:t>propos</w:t>
      </w:r>
      <w:r w:rsidR="0056397B">
        <w:t xml:space="preserve">ing that any entity wanting to conduct any of the </w:t>
      </w:r>
      <w:r w:rsidR="0056397B" w:rsidRPr="00693769">
        <w:rPr>
          <w:bCs/>
          <w:iCs/>
        </w:rPr>
        <w:t xml:space="preserve">regulated </w:t>
      </w:r>
      <w:proofErr w:type="spellStart"/>
      <w:r w:rsidR="0056397B" w:rsidRPr="00693769">
        <w:rPr>
          <w:bCs/>
          <w:iCs/>
        </w:rPr>
        <w:t>stablecoin</w:t>
      </w:r>
      <w:proofErr w:type="spellEnd"/>
      <w:r w:rsidR="0056397B" w:rsidRPr="00693769">
        <w:rPr>
          <w:bCs/>
          <w:iCs/>
        </w:rPr>
        <w:t>-related activities</w:t>
      </w:r>
      <w:r w:rsidR="0056397B" w:rsidRPr="0040564B">
        <w:rPr>
          <w:b/>
          <w:bCs/>
          <w:iCs/>
        </w:rPr>
        <w:t xml:space="preserve"> </w:t>
      </w:r>
      <w:r w:rsidR="0056397B" w:rsidRPr="00AC13ED">
        <w:rPr>
          <w:bCs/>
          <w:iCs/>
        </w:rPr>
        <w:t>(</w:t>
      </w:r>
      <w:r w:rsidR="0056397B">
        <w:t>listed under paragraph 2 above)</w:t>
      </w:r>
      <w:r>
        <w:t xml:space="preserve"> </w:t>
      </w:r>
      <w:r w:rsidR="0056397B">
        <w:t xml:space="preserve">in Hong Kong will need to be incorporated in Hong Kong and licensed by the HKMA to conduct the relevant activity. Like section 115 of the SFO, the new regulatory regime will also prohibit </w:t>
      </w:r>
      <w:r w:rsidR="00635442">
        <w:t xml:space="preserve">the active marketing of </w:t>
      </w:r>
      <w:proofErr w:type="spellStart"/>
      <w:r w:rsidR="00635442" w:rsidRPr="00693769">
        <w:rPr>
          <w:bCs/>
          <w:iCs/>
        </w:rPr>
        <w:t>stablecoin</w:t>
      </w:r>
      <w:proofErr w:type="spellEnd"/>
      <w:r w:rsidR="00635442" w:rsidRPr="00693769">
        <w:rPr>
          <w:bCs/>
          <w:iCs/>
        </w:rPr>
        <w:t>-related activities</w:t>
      </w:r>
      <w:r w:rsidR="00635442" w:rsidRPr="0040564B">
        <w:rPr>
          <w:b/>
          <w:bCs/>
          <w:iCs/>
        </w:rPr>
        <w:t xml:space="preserve"> </w:t>
      </w:r>
      <w:r w:rsidR="00635442" w:rsidRPr="00AC13ED">
        <w:rPr>
          <w:bCs/>
          <w:iCs/>
        </w:rPr>
        <w:t>to the Hong Kong public</w:t>
      </w:r>
      <w:r w:rsidR="00635442">
        <w:rPr>
          <w:b/>
          <w:bCs/>
          <w:iCs/>
        </w:rPr>
        <w:t xml:space="preserve"> </w:t>
      </w:r>
      <w:r w:rsidR="00635442">
        <w:t xml:space="preserve">by an unlicensed entity. Accordingly, </w:t>
      </w:r>
      <w:r w:rsidR="00D806B8">
        <w:t xml:space="preserve">a </w:t>
      </w:r>
      <w:r w:rsidR="00635442">
        <w:t xml:space="preserve">non-Hong Kong </w:t>
      </w:r>
      <w:r w:rsidR="00D806B8">
        <w:t xml:space="preserve">company will </w:t>
      </w:r>
      <w:r w:rsidR="00635442">
        <w:t xml:space="preserve">need to incorporate a Hong Kong company to apply for an HKMA </w:t>
      </w:r>
      <w:proofErr w:type="spellStart"/>
      <w:r w:rsidR="00635442">
        <w:t>licence</w:t>
      </w:r>
      <w:proofErr w:type="spellEnd"/>
      <w:r w:rsidR="00635442">
        <w:t xml:space="preserve"> to provide regulated </w:t>
      </w:r>
      <w:proofErr w:type="spellStart"/>
      <w:r w:rsidR="00635442">
        <w:t>stablecoin</w:t>
      </w:r>
      <w:proofErr w:type="spellEnd"/>
      <w:r w:rsidR="00635442">
        <w:t xml:space="preserve">-related activities in Hong Kong. </w:t>
      </w:r>
      <w:r w:rsidR="00D806B8">
        <w:t>A mere Hong Kong branch or office of a foreign corporation will</w:t>
      </w:r>
      <w:r w:rsidR="00635442">
        <w:t xml:space="preserve"> not be licensed by the HKMA</w:t>
      </w:r>
      <w:r w:rsidR="003C37C0">
        <w:t>.</w:t>
      </w:r>
    </w:p>
    <w:p w14:paraId="2C9F57F1" w14:textId="2EFC35E2" w:rsidR="007376CA" w:rsidRPr="00AC13ED" w:rsidRDefault="00635442" w:rsidP="002530D7">
      <w:pPr>
        <w:pStyle w:val="a3"/>
        <w:numPr>
          <w:ilvl w:val="0"/>
          <w:numId w:val="22"/>
        </w:numPr>
        <w:tabs>
          <w:tab w:val="left" w:pos="426"/>
        </w:tabs>
        <w:spacing w:line="240" w:lineRule="auto"/>
        <w:ind w:left="426" w:hanging="426"/>
        <w:jc w:val="both"/>
        <w:rPr>
          <w:b/>
          <w:bCs/>
        </w:rPr>
      </w:pPr>
      <w:r>
        <w:rPr>
          <w:b/>
          <w:bCs/>
        </w:rPr>
        <w:t>Regime implementation and s</w:t>
      </w:r>
      <w:r w:rsidR="00CC3EE7" w:rsidRPr="00AC13ED">
        <w:rPr>
          <w:b/>
          <w:bCs/>
        </w:rPr>
        <w:t xml:space="preserve">upervisory </w:t>
      </w:r>
      <w:r>
        <w:rPr>
          <w:b/>
          <w:bCs/>
        </w:rPr>
        <w:t>c</w:t>
      </w:r>
      <w:r w:rsidR="00CC3EE7" w:rsidRPr="00AC13ED">
        <w:rPr>
          <w:b/>
          <w:bCs/>
        </w:rPr>
        <w:t>ooperation</w:t>
      </w:r>
    </w:p>
    <w:p w14:paraId="77FD7278" w14:textId="77777777" w:rsidR="00635442" w:rsidRPr="00B24FBE" w:rsidRDefault="00635442" w:rsidP="002530D7">
      <w:pPr>
        <w:spacing w:line="240" w:lineRule="auto"/>
        <w:jc w:val="both"/>
      </w:pPr>
      <w:r>
        <w:t>The fifth discussion question raised is:</w:t>
      </w:r>
    </w:p>
    <w:p w14:paraId="511D4F18" w14:textId="77777777" w:rsidR="00635442" w:rsidRDefault="00635442" w:rsidP="002530D7">
      <w:pPr>
        <w:tabs>
          <w:tab w:val="left" w:pos="426"/>
        </w:tabs>
        <w:spacing w:line="240" w:lineRule="auto"/>
        <w:ind w:left="426"/>
        <w:jc w:val="both"/>
      </w:pPr>
      <w:r>
        <w:t>“</w:t>
      </w:r>
      <w:r w:rsidRPr="00AC13ED">
        <w:rPr>
          <w:i/>
        </w:rPr>
        <w:t xml:space="preserve">When will this new, risk-based regime on </w:t>
      </w:r>
      <w:proofErr w:type="spellStart"/>
      <w:r w:rsidRPr="00AC13ED">
        <w:rPr>
          <w:i/>
        </w:rPr>
        <w:t>stablecoins</w:t>
      </w:r>
      <w:proofErr w:type="spellEnd"/>
      <w:r w:rsidRPr="00AC13ED">
        <w:rPr>
          <w:i/>
        </w:rPr>
        <w:t xml:space="preserve"> be established, and would there be regulatory overlap with other financial regulatory regimes in Hong Kong, including but not limited to the SFC’s VASP regime, and the SVF licensing regime of the PSSVFO?</w:t>
      </w:r>
      <w:r>
        <w:t>”</w:t>
      </w:r>
    </w:p>
    <w:p w14:paraId="40A72E1E" w14:textId="77777777" w:rsidR="003F6C5D" w:rsidRDefault="00FB3572" w:rsidP="002530D7">
      <w:pPr>
        <w:spacing w:after="0" w:line="240" w:lineRule="auto"/>
        <w:jc w:val="both"/>
      </w:pPr>
      <w:r>
        <w:rPr>
          <w:b/>
          <w:bCs/>
          <w:i/>
        </w:rPr>
        <w:t xml:space="preserve">Implementation of the HKMA </w:t>
      </w:r>
      <w:proofErr w:type="spellStart"/>
      <w:r>
        <w:rPr>
          <w:b/>
          <w:bCs/>
          <w:i/>
        </w:rPr>
        <w:t>s</w:t>
      </w:r>
      <w:r w:rsidRPr="00AC13ED">
        <w:rPr>
          <w:b/>
          <w:bCs/>
          <w:i/>
        </w:rPr>
        <w:t>tablecoin</w:t>
      </w:r>
      <w:proofErr w:type="spellEnd"/>
      <w:r w:rsidRPr="00AC13ED">
        <w:rPr>
          <w:b/>
          <w:bCs/>
          <w:i/>
        </w:rPr>
        <w:t xml:space="preserve"> </w:t>
      </w:r>
      <w:r>
        <w:rPr>
          <w:b/>
          <w:bCs/>
          <w:i/>
        </w:rPr>
        <w:t>regulatory r</w:t>
      </w:r>
      <w:r w:rsidRPr="00AC13ED">
        <w:rPr>
          <w:b/>
          <w:bCs/>
          <w:i/>
        </w:rPr>
        <w:t>egime</w:t>
      </w:r>
    </w:p>
    <w:p w14:paraId="68A105E5" w14:textId="77777777" w:rsidR="003F6C5D" w:rsidRDefault="003F6C5D" w:rsidP="002530D7">
      <w:pPr>
        <w:spacing w:after="0" w:line="240" w:lineRule="auto"/>
        <w:jc w:val="both"/>
      </w:pPr>
    </w:p>
    <w:p w14:paraId="239C8F05" w14:textId="77777777" w:rsidR="003F6C5D" w:rsidRDefault="00FB3572" w:rsidP="002530D7">
      <w:pPr>
        <w:spacing w:after="0" w:line="240" w:lineRule="auto"/>
        <w:jc w:val="both"/>
      </w:pPr>
      <w:r>
        <w:t>After receiving feedback on the Discussion Paper, the HKMA will consider whether there is a need to issue additional documents on specific features of the regulatory framework in 2022/23. The HKMA aims to implement the new regime no later than 2023/24.</w:t>
      </w:r>
    </w:p>
    <w:p w14:paraId="4827767A" w14:textId="77777777" w:rsidR="003F6C5D" w:rsidRDefault="003F6C5D" w:rsidP="002530D7">
      <w:pPr>
        <w:spacing w:after="0" w:line="240" w:lineRule="auto"/>
        <w:jc w:val="both"/>
      </w:pPr>
    </w:p>
    <w:p w14:paraId="4137303B" w14:textId="77777777" w:rsidR="003F6C5D" w:rsidRDefault="00FB3572" w:rsidP="002530D7">
      <w:pPr>
        <w:spacing w:after="0" w:line="240" w:lineRule="auto"/>
        <w:jc w:val="both"/>
      </w:pPr>
      <w:r>
        <w:rPr>
          <w:b/>
          <w:i/>
        </w:rPr>
        <w:t>Potential overlap with other financial regulatory regimes</w:t>
      </w:r>
    </w:p>
    <w:p w14:paraId="7D421714" w14:textId="77777777" w:rsidR="003F6C5D" w:rsidRDefault="003F6C5D" w:rsidP="002530D7">
      <w:pPr>
        <w:spacing w:after="0" w:line="240" w:lineRule="auto"/>
        <w:jc w:val="both"/>
      </w:pPr>
    </w:p>
    <w:p w14:paraId="1470552F" w14:textId="6B7C5DB0" w:rsidR="00FB3572" w:rsidRDefault="000A2A60" w:rsidP="002530D7">
      <w:pPr>
        <w:spacing w:line="240" w:lineRule="auto"/>
        <w:jc w:val="both"/>
      </w:pPr>
      <w:r>
        <w:t>The</w:t>
      </w:r>
      <w:r w:rsidR="00FB3572">
        <w:t xml:space="preserve"> HKMA notes the existence of </w:t>
      </w:r>
      <w:r w:rsidR="00695EDF">
        <w:t xml:space="preserve">multiple regulatory regimes in Hong Kong administered by various financial regulators which may apply to crypto-assets. In developing the </w:t>
      </w:r>
      <w:proofErr w:type="spellStart"/>
      <w:r w:rsidR="00695EDF">
        <w:t>stablecoin</w:t>
      </w:r>
      <w:proofErr w:type="spellEnd"/>
      <w:r w:rsidR="00695EDF">
        <w:t xml:space="preserve"> regulatory regime, the HKMA will </w:t>
      </w:r>
      <w:r w:rsidR="00D30E09">
        <w:t xml:space="preserve">therefore </w:t>
      </w:r>
      <w:r w:rsidR="00695EDF">
        <w:t>work with other interested parties (</w:t>
      </w:r>
      <w:r w:rsidR="00D30E09">
        <w:t xml:space="preserve">including </w:t>
      </w:r>
      <w:r w:rsidR="00D30E09" w:rsidRPr="00D30E09">
        <w:t xml:space="preserve">stakeholders in the </w:t>
      </w:r>
      <w:r w:rsidR="00D30E09">
        <w:t>Hong Kong Government and</w:t>
      </w:r>
      <w:r w:rsidR="00D30E09" w:rsidRPr="00D30E09">
        <w:t xml:space="preserve"> other financial regulators</w:t>
      </w:r>
      <w:r w:rsidR="00D30E09">
        <w:t xml:space="preserve">) </w:t>
      </w:r>
      <w:r w:rsidR="00695EDF">
        <w:t>to</w:t>
      </w:r>
      <w:r w:rsidR="00D30E09">
        <w:t xml:space="preserve"> </w:t>
      </w:r>
      <w:r w:rsidR="00D30E09" w:rsidRPr="00D30E09">
        <w:t>avoid regulatory arbitrage</w:t>
      </w:r>
      <w:r w:rsidR="00D30E09">
        <w:t xml:space="preserve"> and to determine</w:t>
      </w:r>
      <w:r w:rsidR="00D30E09" w:rsidRPr="00D30E09">
        <w:t xml:space="preserve"> </w:t>
      </w:r>
      <w:r w:rsidR="008E6B16">
        <w:t>potential</w:t>
      </w:r>
      <w:r w:rsidR="00D30E09" w:rsidRPr="00D30E09">
        <w:t xml:space="preserve"> areas for further collaboration and coordination</w:t>
      </w:r>
      <w:r w:rsidR="00D30E09">
        <w:t>.</w:t>
      </w:r>
      <w:r w:rsidR="00B42E1F">
        <w:t xml:space="preserve"> </w:t>
      </w:r>
    </w:p>
    <w:p w14:paraId="3480A625" w14:textId="77777777" w:rsidR="00FB3572" w:rsidRDefault="00FB3572" w:rsidP="002530D7">
      <w:pPr>
        <w:pStyle w:val="a3"/>
        <w:numPr>
          <w:ilvl w:val="0"/>
          <w:numId w:val="22"/>
        </w:numPr>
        <w:tabs>
          <w:tab w:val="left" w:pos="426"/>
        </w:tabs>
        <w:spacing w:line="240" w:lineRule="auto"/>
        <w:ind w:left="426" w:hanging="426"/>
        <w:jc w:val="both"/>
        <w:rPr>
          <w:b/>
        </w:rPr>
      </w:pPr>
      <w:r>
        <w:rPr>
          <w:b/>
        </w:rPr>
        <w:t xml:space="preserve">Should </w:t>
      </w:r>
      <w:proofErr w:type="spellStart"/>
      <w:r>
        <w:rPr>
          <w:b/>
        </w:rPr>
        <w:t>stablecoin</w:t>
      </w:r>
      <w:proofErr w:type="spellEnd"/>
      <w:r>
        <w:rPr>
          <w:b/>
        </w:rPr>
        <w:t xml:space="preserve"> issuers be regulated as Authorized Institutions?</w:t>
      </w:r>
    </w:p>
    <w:p w14:paraId="4672AA84" w14:textId="77777777" w:rsidR="00FB3572" w:rsidRDefault="00FB3572" w:rsidP="002530D7">
      <w:pPr>
        <w:tabs>
          <w:tab w:val="left" w:pos="426"/>
        </w:tabs>
        <w:spacing w:line="240" w:lineRule="auto"/>
        <w:jc w:val="both"/>
      </w:pPr>
      <w:r>
        <w:t>The Discussion Paper’s sixth question is:</w:t>
      </w:r>
    </w:p>
    <w:p w14:paraId="380451F6" w14:textId="77777777" w:rsidR="00FB3572" w:rsidRDefault="00FB3572" w:rsidP="002530D7">
      <w:pPr>
        <w:tabs>
          <w:tab w:val="left" w:pos="426"/>
        </w:tabs>
        <w:spacing w:line="240" w:lineRule="auto"/>
        <w:ind w:left="426"/>
        <w:jc w:val="both"/>
      </w:pPr>
      <w:r>
        <w:t>“</w:t>
      </w:r>
      <w:proofErr w:type="spellStart"/>
      <w:r w:rsidRPr="00AC13ED">
        <w:rPr>
          <w:i/>
        </w:rPr>
        <w:t>Stablecoins</w:t>
      </w:r>
      <w:proofErr w:type="spellEnd"/>
      <w:r w:rsidRPr="00AC13ED">
        <w:rPr>
          <w:i/>
        </w:rPr>
        <w:t xml:space="preserve"> could be subject to run and become potential substitutes of bank deposits. Should the HKMA require </w:t>
      </w:r>
      <w:proofErr w:type="spellStart"/>
      <w:r w:rsidRPr="00AC13ED">
        <w:rPr>
          <w:i/>
        </w:rPr>
        <w:t>stablecoin</w:t>
      </w:r>
      <w:proofErr w:type="spellEnd"/>
      <w:r w:rsidRPr="00AC13ED">
        <w:rPr>
          <w:i/>
        </w:rPr>
        <w:t xml:space="preserve"> issuers to be AIs under the Banking Ordinance, similar to the recommendations in the Report on </w:t>
      </w:r>
      <w:proofErr w:type="spellStart"/>
      <w:r w:rsidRPr="00AC13ED">
        <w:rPr>
          <w:i/>
        </w:rPr>
        <w:t>Stablecoins</w:t>
      </w:r>
      <w:proofErr w:type="spellEnd"/>
      <w:r w:rsidRPr="00AC13ED">
        <w:rPr>
          <w:i/>
        </w:rPr>
        <w:t xml:space="preserve"> issued by the US President’s Working Group on Financial Markets?</w:t>
      </w:r>
      <w:r>
        <w:t>”</w:t>
      </w:r>
    </w:p>
    <w:p w14:paraId="18C91333" w14:textId="3E6E01B3" w:rsidR="00CC3EE7" w:rsidRDefault="009C3DB1" w:rsidP="002530D7">
      <w:pPr>
        <w:tabs>
          <w:tab w:val="left" w:pos="426"/>
        </w:tabs>
        <w:spacing w:line="240" w:lineRule="auto"/>
        <w:jc w:val="both"/>
      </w:pPr>
      <w:r>
        <w:t xml:space="preserve">The HKMA proposes to draw reference from relevant international standards and recommendations such as those of the Financial Stability Board and the Bank of International Settlements. Given the payment-related nature of </w:t>
      </w:r>
      <w:proofErr w:type="spellStart"/>
      <w:r>
        <w:t>stablecoin</w:t>
      </w:r>
      <w:proofErr w:type="spellEnd"/>
      <w:r>
        <w:t xml:space="preserve"> arrangements, the HKMA expects that the proposed regime’s rules and </w:t>
      </w:r>
      <w:r>
        <w:lastRenderedPageBreak/>
        <w:t>requirements would take relevant aspects of Hong Kong’s current approach to SVF</w:t>
      </w:r>
      <w:r w:rsidR="00AA7608">
        <w:t xml:space="preserve"> and payment regulation as</w:t>
      </w:r>
      <w:r>
        <w:t xml:space="preserve"> a minimum to avoid regulatory arbitrage. </w:t>
      </w:r>
      <w:r w:rsidR="00F74185">
        <w:t xml:space="preserve">Under a risk-based approach, </w:t>
      </w:r>
      <w:r w:rsidR="00342BC4">
        <w:t xml:space="preserve">the </w:t>
      </w:r>
      <w:r w:rsidR="002323A1">
        <w:t xml:space="preserve">HKMA considers that </w:t>
      </w:r>
      <w:proofErr w:type="spellStart"/>
      <w:r w:rsidR="00AA7608">
        <w:t>stablecoin</w:t>
      </w:r>
      <w:proofErr w:type="spellEnd"/>
      <w:r w:rsidR="00AA7608">
        <w:t xml:space="preserve"> issuers </w:t>
      </w:r>
      <w:r w:rsidR="002323A1">
        <w:t xml:space="preserve">should be required to </w:t>
      </w:r>
      <w:r w:rsidR="00342BC4">
        <w:t>be subject to higher prudential requirements to protec</w:t>
      </w:r>
      <w:r w:rsidR="00AA7608">
        <w:t>t</w:t>
      </w:r>
      <w:r w:rsidR="00342BC4">
        <w:t xml:space="preserve"> users.</w:t>
      </w:r>
      <w:r w:rsidR="00360552">
        <w:t xml:space="preserve"> </w:t>
      </w:r>
    </w:p>
    <w:p w14:paraId="74F25448" w14:textId="77777777" w:rsidR="009C3DB1" w:rsidRPr="00AC13ED" w:rsidRDefault="009C3DB1" w:rsidP="002530D7">
      <w:pPr>
        <w:pStyle w:val="a3"/>
        <w:numPr>
          <w:ilvl w:val="0"/>
          <w:numId w:val="22"/>
        </w:numPr>
        <w:tabs>
          <w:tab w:val="left" w:pos="426"/>
        </w:tabs>
        <w:spacing w:line="240" w:lineRule="auto"/>
        <w:ind w:hanging="720"/>
        <w:jc w:val="both"/>
        <w:rPr>
          <w:b/>
        </w:rPr>
      </w:pPr>
      <w:r>
        <w:rPr>
          <w:b/>
        </w:rPr>
        <w:t>Will the HKMA regulate unbacked crypto-assets?</w:t>
      </w:r>
    </w:p>
    <w:p w14:paraId="0F98364F" w14:textId="77777777" w:rsidR="009C3DB1" w:rsidRDefault="009C3DB1" w:rsidP="002530D7">
      <w:pPr>
        <w:tabs>
          <w:tab w:val="left" w:pos="426"/>
        </w:tabs>
        <w:spacing w:line="240" w:lineRule="auto"/>
        <w:jc w:val="both"/>
      </w:pPr>
      <w:r w:rsidRPr="00AC13ED">
        <w:t>T</w:t>
      </w:r>
      <w:r>
        <w:t>he seventh discussion question is:</w:t>
      </w:r>
    </w:p>
    <w:p w14:paraId="5D683AC1" w14:textId="77777777" w:rsidR="009C3DB1" w:rsidRDefault="009C3DB1" w:rsidP="002530D7">
      <w:pPr>
        <w:tabs>
          <w:tab w:val="left" w:pos="426"/>
        </w:tabs>
        <w:spacing w:line="240" w:lineRule="auto"/>
        <w:ind w:left="426"/>
        <w:jc w:val="both"/>
      </w:pPr>
      <w:r>
        <w:t>“</w:t>
      </w:r>
      <w:r w:rsidRPr="00AC13ED">
        <w:rPr>
          <w:i/>
        </w:rPr>
        <w:t>Would the HKMA also have plan to regulate unbacked crypto-assets given their growing linkage with the mainstream financial system and risk to financial stability?</w:t>
      </w:r>
      <w:r>
        <w:t>”</w:t>
      </w:r>
    </w:p>
    <w:p w14:paraId="02A2F7F3" w14:textId="77777777" w:rsidR="009C3DB1" w:rsidRDefault="009C3DB1" w:rsidP="002530D7">
      <w:pPr>
        <w:tabs>
          <w:tab w:val="left" w:pos="426"/>
        </w:tabs>
        <w:spacing w:line="240" w:lineRule="auto"/>
        <w:jc w:val="both"/>
      </w:pPr>
      <w:r>
        <w:t xml:space="preserve">The HKMA acknowledges the need for continued monitoring of the risks posed by unbacked crypto-assets and the possible need to regulate unbacked crypto-assets in the future. It also notes that certain activities in relation to unbacked crypto-assets will be </w:t>
      </w:r>
      <w:r w:rsidR="001341E6">
        <w:t xml:space="preserve">covered by the new licensing regime for virtual asset service providers or VASPs to be implemented through amendments to the Anti-Money Laundering and Counter-Terrorist Financing Ordinance. For details of the new licensing regime, please see </w:t>
      </w:r>
      <w:proofErr w:type="spellStart"/>
      <w:r w:rsidR="001341E6">
        <w:t>Charltons</w:t>
      </w:r>
      <w:proofErr w:type="spellEnd"/>
      <w:r w:rsidR="001341E6">
        <w:t>’ newsletter “</w:t>
      </w:r>
      <w:hyperlink r:id="rId15" w:history="1">
        <w:r w:rsidR="001341E6" w:rsidRPr="001341E6">
          <w:rPr>
            <w:rStyle w:val="a4"/>
          </w:rPr>
          <w:t>FSTB Concludes Consultation on Licensing Regime for Hong Kong Virtual Asset Exchanges</w:t>
        </w:r>
      </w:hyperlink>
      <w:r w:rsidR="001341E6">
        <w:t>”</w:t>
      </w:r>
      <w:r w:rsidR="001341E6">
        <w:rPr>
          <w:rStyle w:val="a7"/>
        </w:rPr>
        <w:footnoteReference w:id="7"/>
      </w:r>
      <w:r w:rsidR="001341E6">
        <w:t>. The HKMA will continue to monitor the development of crypto-assets and will maintain dialogue with stakeholders in the Hong Kong Government, other financial regulators and international standard-setting bodies on the need to strengthen regulation of these assets as needed given international regulatory developments and the need to avoid regulatory arbitrage in these activities.</w:t>
      </w:r>
    </w:p>
    <w:p w14:paraId="410EE617" w14:textId="77777777" w:rsidR="009C3DB1" w:rsidRDefault="000254AF" w:rsidP="002530D7">
      <w:pPr>
        <w:pStyle w:val="a3"/>
        <w:numPr>
          <w:ilvl w:val="0"/>
          <w:numId w:val="22"/>
        </w:numPr>
        <w:tabs>
          <w:tab w:val="left" w:pos="426"/>
        </w:tabs>
        <w:spacing w:line="240" w:lineRule="auto"/>
        <w:ind w:left="426" w:hanging="426"/>
        <w:jc w:val="both"/>
        <w:rPr>
          <w:b/>
        </w:rPr>
      </w:pPr>
      <w:r>
        <w:rPr>
          <w:b/>
        </w:rPr>
        <w:t>Responding to the HKMA Discussion Paper</w:t>
      </w:r>
    </w:p>
    <w:p w14:paraId="739DDEC4" w14:textId="77777777" w:rsidR="000254AF" w:rsidRDefault="000254AF" w:rsidP="002530D7">
      <w:pPr>
        <w:tabs>
          <w:tab w:val="left" w:pos="426"/>
        </w:tabs>
        <w:spacing w:line="240" w:lineRule="auto"/>
        <w:jc w:val="both"/>
      </w:pPr>
      <w:r>
        <w:t>The eighth question asks:</w:t>
      </w:r>
    </w:p>
    <w:p w14:paraId="0A77F0F4" w14:textId="77777777" w:rsidR="000254AF" w:rsidRDefault="000254AF" w:rsidP="002530D7">
      <w:pPr>
        <w:tabs>
          <w:tab w:val="left" w:pos="426"/>
        </w:tabs>
        <w:spacing w:line="240" w:lineRule="auto"/>
        <w:ind w:left="426"/>
        <w:jc w:val="both"/>
      </w:pPr>
      <w:r>
        <w:t>“</w:t>
      </w:r>
      <w:r w:rsidRPr="00AC13ED">
        <w:rPr>
          <w:i/>
        </w:rPr>
        <w:t xml:space="preserve">For current or prospective parties and entities in the </w:t>
      </w:r>
      <w:proofErr w:type="spellStart"/>
      <w:r w:rsidRPr="00AC13ED">
        <w:rPr>
          <w:i/>
        </w:rPr>
        <w:t>stablecoins</w:t>
      </w:r>
      <w:proofErr w:type="spellEnd"/>
      <w:r w:rsidRPr="00AC13ED">
        <w:rPr>
          <w:i/>
        </w:rPr>
        <w:t xml:space="preserve"> ecosystem, what should they do before the HKMA’s regulatory regime is introduced?</w:t>
      </w:r>
      <w:r>
        <w:t>”</w:t>
      </w:r>
    </w:p>
    <w:p w14:paraId="77AAFE5D" w14:textId="701B5211" w:rsidR="001D2812" w:rsidRDefault="000254AF" w:rsidP="002530D7">
      <w:pPr>
        <w:tabs>
          <w:tab w:val="left" w:pos="426"/>
        </w:tabs>
        <w:spacing w:line="240" w:lineRule="auto"/>
        <w:jc w:val="both"/>
      </w:pPr>
      <w:r>
        <w:t xml:space="preserve">The HKMA encourages those currently involved or considering involvement in </w:t>
      </w:r>
      <w:proofErr w:type="spellStart"/>
      <w:r>
        <w:t>stablecoin</w:t>
      </w:r>
      <w:proofErr w:type="spellEnd"/>
      <w:r>
        <w:t xml:space="preserve">-related activities to submit their views on the Discussion Paper to the HKMA so that these can be taken into account in formulating the regulatory framework for payment-related </w:t>
      </w:r>
      <w:proofErr w:type="spellStart"/>
      <w:r>
        <w:t>stablecoins</w:t>
      </w:r>
      <w:proofErr w:type="spellEnd"/>
      <w:r>
        <w:t>. The HKMA hopes to introduce the new framework no later than 2023/24. In the meantime, the HKMA will supervise AIs’ activities in relation to crypto-assets and implement the SVF licensing regime according to its current supervisory powers and policies.</w:t>
      </w:r>
    </w:p>
    <w:p w14:paraId="020BB183" w14:textId="77777777" w:rsidR="001D2812" w:rsidRPr="00F05494" w:rsidRDefault="001D2812" w:rsidP="002530D7">
      <w:pPr>
        <w:pStyle w:val="DisclaimerBold"/>
        <w:rPr>
          <w:rFonts w:ascii="Helvetica" w:hAnsi="Helvetica"/>
        </w:rPr>
      </w:pPr>
      <w:r w:rsidRPr="00F05494">
        <w:rPr>
          <w:rFonts w:ascii="Helvetica" w:hAnsi="Helvetica"/>
        </w:rPr>
        <w:t>This newsletter is for information purposes only.</w:t>
      </w:r>
    </w:p>
    <w:p w14:paraId="15A5A105" w14:textId="77777777" w:rsidR="001D2812" w:rsidRPr="00F05494" w:rsidRDefault="001D2812" w:rsidP="002530D7">
      <w:pPr>
        <w:pStyle w:val="Disclaimer"/>
        <w:rPr>
          <w:rFonts w:ascii="Helvetica" w:hAnsi="Helvetica"/>
        </w:rPr>
      </w:pPr>
      <w:r w:rsidRPr="00F05494">
        <w:rPr>
          <w:rFonts w:ascii="Helvetica" w:hAnsi="Helvetica"/>
        </w:rPr>
        <w:t xml:space="preserve">Its contents do not constitute legal advice and it </w:t>
      </w:r>
      <w:proofErr w:type="gramStart"/>
      <w:r w:rsidRPr="00F05494">
        <w:rPr>
          <w:rFonts w:ascii="Helvetica" w:hAnsi="Helvetica"/>
        </w:rPr>
        <w:t>should  not</w:t>
      </w:r>
      <w:proofErr w:type="gramEnd"/>
      <w:r w:rsidRPr="00F05494">
        <w:rPr>
          <w:rFonts w:ascii="Helvetica" w:hAnsi="Helvetica"/>
        </w:rPr>
        <w:t xml:space="preserve"> be regarded as a substitute for detailed advice  in individual cases.</w:t>
      </w:r>
    </w:p>
    <w:p w14:paraId="0E1EF9AA" w14:textId="77777777" w:rsidR="001D2812" w:rsidRPr="00F05494" w:rsidRDefault="001D2812" w:rsidP="002530D7">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555CA5C1" w14:textId="77777777" w:rsidR="001D2812" w:rsidRPr="00F05494" w:rsidRDefault="001D2812" w:rsidP="002530D7">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 party</w:t>
      </w:r>
      <w:proofErr w:type="gramEnd"/>
      <w:r w:rsidRPr="00F05494">
        <w:rPr>
          <w:rFonts w:ascii="Helvetica" w:hAnsi="Helvetica"/>
        </w:rPr>
        <w:t xml:space="preserve"> content which can be accessed through the website.</w:t>
      </w:r>
    </w:p>
    <w:p w14:paraId="5E4FC364" w14:textId="77777777" w:rsidR="001D2812" w:rsidRPr="00F05494" w:rsidRDefault="001D2812" w:rsidP="002530D7">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6">
        <w:r w:rsidRPr="00F05494">
          <w:rPr>
            <w:rFonts w:ascii="Helvetica" w:hAnsi="Helvetica"/>
          </w:rPr>
          <w:t>unsubscribe@charltonslaw.com</w:t>
        </w:r>
      </w:hyperlink>
    </w:p>
    <w:p w14:paraId="3207817A" w14:textId="63284893" w:rsidR="0072209C" w:rsidRPr="002530D7" w:rsidRDefault="001D2812" w:rsidP="002530D7">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03</w:t>
      </w:r>
      <w:r w:rsidRPr="00F05494">
        <w:rPr>
          <w:rFonts w:ascii="Helvetica" w:hAnsi="Helvetica"/>
        </w:rPr>
        <w:t xml:space="preserve"> </w:t>
      </w:r>
      <w:r>
        <w:rPr>
          <w:rFonts w:ascii="Helvetica" w:hAnsi="Helvetica"/>
        </w:rPr>
        <w:t>Fabruary</w:t>
      </w:r>
      <w:r w:rsidRPr="00F05494">
        <w:rPr>
          <w:rFonts w:ascii="Helvetica" w:hAnsi="Helvetica"/>
        </w:rPr>
        <w:t xml:space="preserve"> 2021</w:t>
      </w:r>
    </w:p>
    <w:sectPr w:rsidR="0072209C" w:rsidRPr="002530D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6FFB" w14:textId="77777777" w:rsidR="00E61D4C" w:rsidRDefault="00E61D4C" w:rsidP="00755269">
      <w:pPr>
        <w:spacing w:after="0" w:line="240" w:lineRule="auto"/>
      </w:pPr>
      <w:r>
        <w:separator/>
      </w:r>
    </w:p>
  </w:endnote>
  <w:endnote w:type="continuationSeparator" w:id="0">
    <w:p w14:paraId="501DA18E" w14:textId="77777777" w:rsidR="00E61D4C" w:rsidRDefault="00E61D4C" w:rsidP="0075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E26F4" w14:textId="77777777" w:rsidR="001341E6" w:rsidRDefault="001341E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2151" w14:textId="77777777" w:rsidR="001341E6" w:rsidRDefault="001341E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4AB2" w14:textId="77777777" w:rsidR="001341E6" w:rsidRDefault="001341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55C70" w14:textId="77777777" w:rsidR="00E61D4C" w:rsidRDefault="00E61D4C" w:rsidP="00755269">
      <w:pPr>
        <w:spacing w:after="0" w:line="240" w:lineRule="auto"/>
      </w:pPr>
      <w:r>
        <w:separator/>
      </w:r>
    </w:p>
  </w:footnote>
  <w:footnote w:type="continuationSeparator" w:id="0">
    <w:p w14:paraId="60A63D8E" w14:textId="77777777" w:rsidR="00E61D4C" w:rsidRDefault="00E61D4C" w:rsidP="00755269">
      <w:pPr>
        <w:spacing w:after="0" w:line="240" w:lineRule="auto"/>
      </w:pPr>
      <w:r>
        <w:continuationSeparator/>
      </w:r>
    </w:p>
  </w:footnote>
  <w:footnote w:id="1">
    <w:p w14:paraId="70A6B587" w14:textId="77777777" w:rsidR="001341E6" w:rsidRDefault="001341E6" w:rsidP="00517F9D">
      <w:pPr>
        <w:pStyle w:val="a5"/>
        <w:jc w:val="both"/>
      </w:pPr>
      <w:r>
        <w:rPr>
          <w:rStyle w:val="a7"/>
        </w:rPr>
        <w:footnoteRef/>
      </w:r>
      <w:r w:rsidR="00B80699">
        <w:t xml:space="preserve">HKMA “Discussion Paper on Crypto-assets and </w:t>
      </w:r>
      <w:proofErr w:type="spellStart"/>
      <w:r w:rsidR="00B80699">
        <w:t>Stablecoins</w:t>
      </w:r>
      <w:proofErr w:type="spellEnd"/>
      <w:r w:rsidR="00B80699">
        <w:t xml:space="preserve">” (January 2022) at </w:t>
      </w:r>
      <w:r w:rsidRPr="00755269">
        <w:t>https://www.hkma.gov.hk/media/eng/doc/key-information/press-release/2022/20220112e3a1.pdf</w:t>
      </w:r>
    </w:p>
  </w:footnote>
  <w:footnote w:id="2">
    <w:p w14:paraId="468EFCFF" w14:textId="77777777" w:rsidR="001341E6" w:rsidRDefault="001341E6">
      <w:pPr>
        <w:pStyle w:val="a5"/>
      </w:pPr>
      <w:r>
        <w:rPr>
          <w:rStyle w:val="a7"/>
        </w:rPr>
        <w:footnoteRef/>
      </w:r>
      <w:r>
        <w:t xml:space="preserve"> Discussion Paper at section 2.2</w:t>
      </w:r>
    </w:p>
  </w:footnote>
  <w:footnote w:id="3">
    <w:p w14:paraId="0917201F" w14:textId="77777777" w:rsidR="001341E6" w:rsidRDefault="001341E6" w:rsidP="00AC13ED">
      <w:pPr>
        <w:pStyle w:val="a5"/>
        <w:jc w:val="both"/>
      </w:pPr>
      <w:r>
        <w:rPr>
          <w:rStyle w:val="a7"/>
        </w:rPr>
        <w:footnoteRef/>
      </w:r>
      <w:r>
        <w:t xml:space="preserve"> Under section 2 of the Banking Ordinance (Cap. 155), an authorised institution means a bank, a restricted licence bank, or a deposit-taking company.</w:t>
      </w:r>
    </w:p>
  </w:footnote>
  <w:footnote w:id="4">
    <w:p w14:paraId="5737ECBF" w14:textId="77777777" w:rsidR="001341E6" w:rsidRDefault="001341E6">
      <w:pPr>
        <w:pStyle w:val="a5"/>
      </w:pPr>
      <w:r>
        <w:rPr>
          <w:rStyle w:val="a7"/>
        </w:rPr>
        <w:footnoteRef/>
      </w:r>
      <w:r>
        <w:t xml:space="preserve"> HKMA. “Regulatory approaches to Authorized Institutions’ interface with Virtual Assets and Virtual Asset Service Providers”. (28 January 2022) at </w:t>
      </w:r>
      <w:r w:rsidRPr="00E902A2">
        <w:t>https://www.hkma.gov.hk/media/eng/doc/key-information/guidelines-and-circular/2022/20220128e3.pdf</w:t>
      </w:r>
    </w:p>
  </w:footnote>
  <w:footnote w:id="5">
    <w:p w14:paraId="17825107" w14:textId="77777777" w:rsidR="001341E6" w:rsidRDefault="001341E6" w:rsidP="00AC13ED">
      <w:pPr>
        <w:pStyle w:val="a5"/>
        <w:jc w:val="both"/>
      </w:pPr>
      <w:r>
        <w:rPr>
          <w:rStyle w:val="a7"/>
        </w:rPr>
        <w:footnoteRef/>
      </w:r>
      <w:r>
        <w:t xml:space="preserve">SFC. “Position paper: Regulation of virtual asset trading platforms” (6 November 2019) at </w:t>
      </w:r>
      <w:r w:rsidRPr="0047116D">
        <w:t>https://www.sfc.hk/-/media/EN/files/ER/PDF/20191106-Position-Paper-and-Appendix-1-to-Position-Paper-Eng.pdf</w:t>
      </w:r>
    </w:p>
  </w:footnote>
  <w:footnote w:id="6">
    <w:p w14:paraId="7D6B33C2" w14:textId="77777777" w:rsidR="001341E6" w:rsidRDefault="001341E6" w:rsidP="00AC13ED">
      <w:pPr>
        <w:pStyle w:val="a5"/>
        <w:jc w:val="both"/>
      </w:pPr>
      <w:r>
        <w:rPr>
          <w:rStyle w:val="a7"/>
        </w:rPr>
        <w:footnoteRef/>
      </w:r>
      <w:r>
        <w:t xml:space="preserve"> </w:t>
      </w:r>
      <w:proofErr w:type="spellStart"/>
      <w:r>
        <w:t>Charltons</w:t>
      </w:r>
      <w:proofErr w:type="spellEnd"/>
      <w:r>
        <w:t xml:space="preserve">. “FSTB Concludes Consultation on Licensing Regime for Hong Kong Virtual Asset Exchanges” (May 2021) at </w:t>
      </w:r>
      <w:r w:rsidRPr="009E0E2C">
        <w:t>https://www.charltonslaw.com/fstb-concludes-consultation-on-licensing-regime-for-hong-kong-virtual-asset-exchanges/</w:t>
      </w:r>
    </w:p>
  </w:footnote>
  <w:footnote w:id="7">
    <w:p w14:paraId="14AD9EDA" w14:textId="77777777" w:rsidR="001341E6" w:rsidRDefault="001341E6" w:rsidP="00AC13ED">
      <w:pPr>
        <w:pStyle w:val="a5"/>
        <w:jc w:val="both"/>
      </w:pPr>
      <w:r>
        <w:rPr>
          <w:rStyle w:val="a7"/>
        </w:rPr>
        <w:footnoteRef/>
      </w:r>
      <w:r>
        <w:t xml:space="preserve"> </w:t>
      </w:r>
      <w:proofErr w:type="spellStart"/>
      <w:r>
        <w:t>Charltons</w:t>
      </w:r>
      <w:proofErr w:type="spellEnd"/>
      <w:r>
        <w:t xml:space="preserve">. “FSTB Concludes Consultation on Licensing Regime for Hong Kong Virtual Asset Exchanges” (May 2021) at </w:t>
      </w:r>
      <w:r w:rsidRPr="001341E6">
        <w:t>https://www.charltonslaw.com/fstb-concludes-consultation-on-licensing-regime-for-hong-kong-virtual-asset-exchanges/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639E" w14:textId="77777777" w:rsidR="001341E6" w:rsidRDefault="001341E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DCF0" w14:textId="77777777" w:rsidR="001341E6" w:rsidRDefault="001341E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469E" w14:textId="77777777" w:rsidR="001341E6" w:rsidRDefault="001341E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60DB1"/>
    <w:multiLevelType w:val="hybridMultilevel"/>
    <w:tmpl w:val="2474CFBE"/>
    <w:lvl w:ilvl="0" w:tplc="B99890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4B5C61"/>
    <w:multiLevelType w:val="hybridMultilevel"/>
    <w:tmpl w:val="A08A774C"/>
    <w:lvl w:ilvl="0" w:tplc="A5728C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B72CFF"/>
    <w:multiLevelType w:val="hybridMultilevel"/>
    <w:tmpl w:val="E9DC5738"/>
    <w:lvl w:ilvl="0" w:tplc="B094D1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834B75"/>
    <w:multiLevelType w:val="hybridMultilevel"/>
    <w:tmpl w:val="D960BA38"/>
    <w:lvl w:ilvl="0" w:tplc="AB14B82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96567"/>
    <w:multiLevelType w:val="hybridMultilevel"/>
    <w:tmpl w:val="304E7022"/>
    <w:lvl w:ilvl="0" w:tplc="1E1C73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967E0"/>
    <w:multiLevelType w:val="hybridMultilevel"/>
    <w:tmpl w:val="2D708DE8"/>
    <w:lvl w:ilvl="0" w:tplc="8CD2C9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DD4ED6"/>
    <w:multiLevelType w:val="hybridMultilevel"/>
    <w:tmpl w:val="44E8C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D140F"/>
    <w:multiLevelType w:val="hybridMultilevel"/>
    <w:tmpl w:val="7282701E"/>
    <w:lvl w:ilvl="0" w:tplc="B3AAF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F300E"/>
    <w:multiLevelType w:val="hybridMultilevel"/>
    <w:tmpl w:val="4140C296"/>
    <w:lvl w:ilvl="0" w:tplc="64CC82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0308E5"/>
    <w:multiLevelType w:val="hybridMultilevel"/>
    <w:tmpl w:val="32D2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E6EE1"/>
    <w:multiLevelType w:val="hybridMultilevel"/>
    <w:tmpl w:val="C47EB48A"/>
    <w:lvl w:ilvl="0" w:tplc="9AF645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EC1CFD"/>
    <w:multiLevelType w:val="hybridMultilevel"/>
    <w:tmpl w:val="823A7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379ED"/>
    <w:multiLevelType w:val="hybridMultilevel"/>
    <w:tmpl w:val="171E36DC"/>
    <w:lvl w:ilvl="0" w:tplc="D8B4F66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5013F84"/>
    <w:multiLevelType w:val="hybridMultilevel"/>
    <w:tmpl w:val="3A4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D5FBC"/>
    <w:multiLevelType w:val="hybridMultilevel"/>
    <w:tmpl w:val="E82C72D0"/>
    <w:lvl w:ilvl="0" w:tplc="963C1F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F0D8B"/>
    <w:multiLevelType w:val="hybridMultilevel"/>
    <w:tmpl w:val="20A826E0"/>
    <w:lvl w:ilvl="0" w:tplc="8AFC5E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D65790"/>
    <w:multiLevelType w:val="hybridMultilevel"/>
    <w:tmpl w:val="27CE76E2"/>
    <w:lvl w:ilvl="0" w:tplc="50C02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8631E"/>
    <w:multiLevelType w:val="hybridMultilevel"/>
    <w:tmpl w:val="6AD26844"/>
    <w:lvl w:ilvl="0" w:tplc="A75AA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B7498"/>
    <w:multiLevelType w:val="hybridMultilevel"/>
    <w:tmpl w:val="04D6E93C"/>
    <w:lvl w:ilvl="0" w:tplc="BF7C7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F354B"/>
    <w:multiLevelType w:val="hybridMultilevel"/>
    <w:tmpl w:val="7214F316"/>
    <w:lvl w:ilvl="0" w:tplc="C63CA5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8469E"/>
    <w:multiLevelType w:val="hybridMultilevel"/>
    <w:tmpl w:val="8ADCBFC4"/>
    <w:lvl w:ilvl="0" w:tplc="F70AE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D975E8"/>
    <w:multiLevelType w:val="hybridMultilevel"/>
    <w:tmpl w:val="FBF20E6E"/>
    <w:lvl w:ilvl="0" w:tplc="707823F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3"/>
  </w:num>
  <w:num w:numId="3">
    <w:abstractNumId w:val="18"/>
  </w:num>
  <w:num w:numId="4">
    <w:abstractNumId w:val="17"/>
  </w:num>
  <w:num w:numId="5">
    <w:abstractNumId w:val="4"/>
  </w:num>
  <w:num w:numId="6">
    <w:abstractNumId w:val="16"/>
  </w:num>
  <w:num w:numId="7">
    <w:abstractNumId w:val="2"/>
  </w:num>
  <w:num w:numId="8">
    <w:abstractNumId w:val="15"/>
  </w:num>
  <w:num w:numId="9">
    <w:abstractNumId w:val="20"/>
  </w:num>
  <w:num w:numId="10">
    <w:abstractNumId w:val="10"/>
  </w:num>
  <w:num w:numId="11">
    <w:abstractNumId w:val="1"/>
  </w:num>
  <w:num w:numId="12">
    <w:abstractNumId w:val="11"/>
  </w:num>
  <w:num w:numId="13">
    <w:abstractNumId w:val="8"/>
  </w:num>
  <w:num w:numId="14">
    <w:abstractNumId w:val="0"/>
  </w:num>
  <w:num w:numId="15">
    <w:abstractNumId w:val="5"/>
  </w:num>
  <w:num w:numId="16">
    <w:abstractNumId w:val="3"/>
  </w:num>
  <w:num w:numId="17">
    <w:abstractNumId w:val="7"/>
  </w:num>
  <w:num w:numId="18">
    <w:abstractNumId w:val="12"/>
  </w:num>
  <w:num w:numId="19">
    <w:abstractNumId w:val="21"/>
  </w:num>
  <w:num w:numId="20">
    <w:abstractNumId w:val="19"/>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4C"/>
    <w:rsid w:val="000035A4"/>
    <w:rsid w:val="000066C5"/>
    <w:rsid w:val="00012770"/>
    <w:rsid w:val="000254AF"/>
    <w:rsid w:val="00027497"/>
    <w:rsid w:val="0003174C"/>
    <w:rsid w:val="00032AF0"/>
    <w:rsid w:val="00032E44"/>
    <w:rsid w:val="00037C25"/>
    <w:rsid w:val="00071BAF"/>
    <w:rsid w:val="0007623D"/>
    <w:rsid w:val="00077427"/>
    <w:rsid w:val="00085DD6"/>
    <w:rsid w:val="00092408"/>
    <w:rsid w:val="000A2A60"/>
    <w:rsid w:val="000A670D"/>
    <w:rsid w:val="000C1C4B"/>
    <w:rsid w:val="000E383E"/>
    <w:rsid w:val="000F7AD1"/>
    <w:rsid w:val="00101E1A"/>
    <w:rsid w:val="00111350"/>
    <w:rsid w:val="00117DFF"/>
    <w:rsid w:val="0012707F"/>
    <w:rsid w:val="001341E6"/>
    <w:rsid w:val="00141F7D"/>
    <w:rsid w:val="00142617"/>
    <w:rsid w:val="00145A4C"/>
    <w:rsid w:val="00152A00"/>
    <w:rsid w:val="00154E10"/>
    <w:rsid w:val="0015603C"/>
    <w:rsid w:val="001610C6"/>
    <w:rsid w:val="0016474B"/>
    <w:rsid w:val="001705F5"/>
    <w:rsid w:val="001745BE"/>
    <w:rsid w:val="0018115E"/>
    <w:rsid w:val="0018404A"/>
    <w:rsid w:val="00190816"/>
    <w:rsid w:val="00195C0B"/>
    <w:rsid w:val="001979DC"/>
    <w:rsid w:val="00197FE1"/>
    <w:rsid w:val="001A0E95"/>
    <w:rsid w:val="001A561B"/>
    <w:rsid w:val="001B21B1"/>
    <w:rsid w:val="001B3A0A"/>
    <w:rsid w:val="001B3FD6"/>
    <w:rsid w:val="001B7348"/>
    <w:rsid w:val="001D2812"/>
    <w:rsid w:val="001D6B07"/>
    <w:rsid w:val="001E0F02"/>
    <w:rsid w:val="001F2C04"/>
    <w:rsid w:val="001F4286"/>
    <w:rsid w:val="002036B7"/>
    <w:rsid w:val="002052F7"/>
    <w:rsid w:val="002071DE"/>
    <w:rsid w:val="00207B7F"/>
    <w:rsid w:val="00221D71"/>
    <w:rsid w:val="002247F4"/>
    <w:rsid w:val="00227601"/>
    <w:rsid w:val="002323A1"/>
    <w:rsid w:val="00235D48"/>
    <w:rsid w:val="00242F49"/>
    <w:rsid w:val="002474BB"/>
    <w:rsid w:val="00252BD2"/>
    <w:rsid w:val="002530D7"/>
    <w:rsid w:val="0025769D"/>
    <w:rsid w:val="00270142"/>
    <w:rsid w:val="00276A96"/>
    <w:rsid w:val="00281E5E"/>
    <w:rsid w:val="0028601F"/>
    <w:rsid w:val="0029444B"/>
    <w:rsid w:val="002B22AF"/>
    <w:rsid w:val="002B6D55"/>
    <w:rsid w:val="002D3F92"/>
    <w:rsid w:val="002E06A7"/>
    <w:rsid w:val="002E3768"/>
    <w:rsid w:val="002F1197"/>
    <w:rsid w:val="002F48B4"/>
    <w:rsid w:val="002F5E5F"/>
    <w:rsid w:val="003156CF"/>
    <w:rsid w:val="003236CF"/>
    <w:rsid w:val="0032397E"/>
    <w:rsid w:val="00324D85"/>
    <w:rsid w:val="00327FFC"/>
    <w:rsid w:val="003345ED"/>
    <w:rsid w:val="00342836"/>
    <w:rsid w:val="00342BC4"/>
    <w:rsid w:val="0034408F"/>
    <w:rsid w:val="00344883"/>
    <w:rsid w:val="003546DA"/>
    <w:rsid w:val="00360552"/>
    <w:rsid w:val="00362704"/>
    <w:rsid w:val="00375AFC"/>
    <w:rsid w:val="0037740A"/>
    <w:rsid w:val="00393AF6"/>
    <w:rsid w:val="003A3856"/>
    <w:rsid w:val="003C37C0"/>
    <w:rsid w:val="003C4889"/>
    <w:rsid w:val="003C65AD"/>
    <w:rsid w:val="003E34EE"/>
    <w:rsid w:val="003E5FA5"/>
    <w:rsid w:val="003E6BBB"/>
    <w:rsid w:val="003F1255"/>
    <w:rsid w:val="003F6C5D"/>
    <w:rsid w:val="00400E95"/>
    <w:rsid w:val="0040146C"/>
    <w:rsid w:val="00407ECC"/>
    <w:rsid w:val="0041341D"/>
    <w:rsid w:val="00426404"/>
    <w:rsid w:val="004322C3"/>
    <w:rsid w:val="004356EB"/>
    <w:rsid w:val="00437438"/>
    <w:rsid w:val="00454819"/>
    <w:rsid w:val="004622AF"/>
    <w:rsid w:val="0047116D"/>
    <w:rsid w:val="0047237A"/>
    <w:rsid w:val="00473336"/>
    <w:rsid w:val="00475173"/>
    <w:rsid w:val="004807BD"/>
    <w:rsid w:val="00484AC9"/>
    <w:rsid w:val="0049605E"/>
    <w:rsid w:val="004A2E57"/>
    <w:rsid w:val="004B1BF7"/>
    <w:rsid w:val="004D1349"/>
    <w:rsid w:val="004D261C"/>
    <w:rsid w:val="004D53E5"/>
    <w:rsid w:val="004E5AB4"/>
    <w:rsid w:val="005009BE"/>
    <w:rsid w:val="00511A00"/>
    <w:rsid w:val="00517F9D"/>
    <w:rsid w:val="00523DAD"/>
    <w:rsid w:val="00541C28"/>
    <w:rsid w:val="005425DA"/>
    <w:rsid w:val="00550643"/>
    <w:rsid w:val="00551D05"/>
    <w:rsid w:val="005542D5"/>
    <w:rsid w:val="0056397B"/>
    <w:rsid w:val="00575BA3"/>
    <w:rsid w:val="005830F2"/>
    <w:rsid w:val="0059299C"/>
    <w:rsid w:val="005A1CA1"/>
    <w:rsid w:val="005A2D61"/>
    <w:rsid w:val="005C1302"/>
    <w:rsid w:val="005D2CF8"/>
    <w:rsid w:val="005D4458"/>
    <w:rsid w:val="005F0B05"/>
    <w:rsid w:val="005F4622"/>
    <w:rsid w:val="006006B7"/>
    <w:rsid w:val="00635442"/>
    <w:rsid w:val="006461BD"/>
    <w:rsid w:val="0065152E"/>
    <w:rsid w:val="0065761F"/>
    <w:rsid w:val="00657E01"/>
    <w:rsid w:val="00661DAF"/>
    <w:rsid w:val="006775CA"/>
    <w:rsid w:val="0068174E"/>
    <w:rsid w:val="00682497"/>
    <w:rsid w:val="006921A6"/>
    <w:rsid w:val="00695572"/>
    <w:rsid w:val="00695EDF"/>
    <w:rsid w:val="006966AE"/>
    <w:rsid w:val="00697794"/>
    <w:rsid w:val="006A7A78"/>
    <w:rsid w:val="006B006D"/>
    <w:rsid w:val="006C1F0C"/>
    <w:rsid w:val="006E7D5A"/>
    <w:rsid w:val="006F0679"/>
    <w:rsid w:val="00702E8F"/>
    <w:rsid w:val="00716080"/>
    <w:rsid w:val="0072209C"/>
    <w:rsid w:val="0072688C"/>
    <w:rsid w:val="00733564"/>
    <w:rsid w:val="00735DDF"/>
    <w:rsid w:val="00736537"/>
    <w:rsid w:val="007376CA"/>
    <w:rsid w:val="00755269"/>
    <w:rsid w:val="00764E8C"/>
    <w:rsid w:val="00766E44"/>
    <w:rsid w:val="007717B1"/>
    <w:rsid w:val="0078065E"/>
    <w:rsid w:val="007911EA"/>
    <w:rsid w:val="00795033"/>
    <w:rsid w:val="00796CFE"/>
    <w:rsid w:val="007B39C7"/>
    <w:rsid w:val="007C22D6"/>
    <w:rsid w:val="007C485C"/>
    <w:rsid w:val="007C552D"/>
    <w:rsid w:val="007D7578"/>
    <w:rsid w:val="007F4852"/>
    <w:rsid w:val="008020C8"/>
    <w:rsid w:val="00824C87"/>
    <w:rsid w:val="00824F9C"/>
    <w:rsid w:val="00825441"/>
    <w:rsid w:val="008269B2"/>
    <w:rsid w:val="008360D2"/>
    <w:rsid w:val="008360EF"/>
    <w:rsid w:val="008360F8"/>
    <w:rsid w:val="00836B87"/>
    <w:rsid w:val="00851202"/>
    <w:rsid w:val="00860D7E"/>
    <w:rsid w:val="00862AB1"/>
    <w:rsid w:val="00873F3B"/>
    <w:rsid w:val="00875331"/>
    <w:rsid w:val="0088641C"/>
    <w:rsid w:val="008865F0"/>
    <w:rsid w:val="0089286D"/>
    <w:rsid w:val="008A079C"/>
    <w:rsid w:val="008A18BF"/>
    <w:rsid w:val="008B4FCC"/>
    <w:rsid w:val="008B6236"/>
    <w:rsid w:val="008C3CCE"/>
    <w:rsid w:val="008D3090"/>
    <w:rsid w:val="008D3D5A"/>
    <w:rsid w:val="008D485B"/>
    <w:rsid w:val="008D57AB"/>
    <w:rsid w:val="008D5FCC"/>
    <w:rsid w:val="008E6B16"/>
    <w:rsid w:val="008F0EE3"/>
    <w:rsid w:val="00910CC4"/>
    <w:rsid w:val="00911232"/>
    <w:rsid w:val="00923AA1"/>
    <w:rsid w:val="00927546"/>
    <w:rsid w:val="00927BC1"/>
    <w:rsid w:val="00933F4A"/>
    <w:rsid w:val="00934633"/>
    <w:rsid w:val="00935AF6"/>
    <w:rsid w:val="00946968"/>
    <w:rsid w:val="009470D9"/>
    <w:rsid w:val="00952A16"/>
    <w:rsid w:val="00982C56"/>
    <w:rsid w:val="009952C4"/>
    <w:rsid w:val="009A5FD6"/>
    <w:rsid w:val="009B33D6"/>
    <w:rsid w:val="009B4E61"/>
    <w:rsid w:val="009C0A9F"/>
    <w:rsid w:val="009C3DB1"/>
    <w:rsid w:val="009C67B8"/>
    <w:rsid w:val="009D44A9"/>
    <w:rsid w:val="009D51F6"/>
    <w:rsid w:val="009E0E2C"/>
    <w:rsid w:val="009F513E"/>
    <w:rsid w:val="00A14402"/>
    <w:rsid w:val="00A14726"/>
    <w:rsid w:val="00A15CB8"/>
    <w:rsid w:val="00A25248"/>
    <w:rsid w:val="00A26227"/>
    <w:rsid w:val="00A26253"/>
    <w:rsid w:val="00A30177"/>
    <w:rsid w:val="00A369F0"/>
    <w:rsid w:val="00A441F2"/>
    <w:rsid w:val="00A56E3B"/>
    <w:rsid w:val="00A61597"/>
    <w:rsid w:val="00A761F3"/>
    <w:rsid w:val="00A8304A"/>
    <w:rsid w:val="00A85338"/>
    <w:rsid w:val="00A873AC"/>
    <w:rsid w:val="00A914C7"/>
    <w:rsid w:val="00A95EEE"/>
    <w:rsid w:val="00A9785C"/>
    <w:rsid w:val="00AA7608"/>
    <w:rsid w:val="00AB6973"/>
    <w:rsid w:val="00AC1324"/>
    <w:rsid w:val="00AC13ED"/>
    <w:rsid w:val="00AC51EE"/>
    <w:rsid w:val="00AD7F4B"/>
    <w:rsid w:val="00AE00DC"/>
    <w:rsid w:val="00AE01FD"/>
    <w:rsid w:val="00AE1202"/>
    <w:rsid w:val="00AE6343"/>
    <w:rsid w:val="00AE6F02"/>
    <w:rsid w:val="00AE7E4D"/>
    <w:rsid w:val="00AF2BAF"/>
    <w:rsid w:val="00B116FA"/>
    <w:rsid w:val="00B13ABA"/>
    <w:rsid w:val="00B13D78"/>
    <w:rsid w:val="00B150DB"/>
    <w:rsid w:val="00B2338F"/>
    <w:rsid w:val="00B24FBE"/>
    <w:rsid w:val="00B27E6D"/>
    <w:rsid w:val="00B42E1F"/>
    <w:rsid w:val="00B43D18"/>
    <w:rsid w:val="00B63B1B"/>
    <w:rsid w:val="00B669BB"/>
    <w:rsid w:val="00B763D7"/>
    <w:rsid w:val="00B80699"/>
    <w:rsid w:val="00B90767"/>
    <w:rsid w:val="00B93365"/>
    <w:rsid w:val="00BB2BDB"/>
    <w:rsid w:val="00BD29BF"/>
    <w:rsid w:val="00BE56EF"/>
    <w:rsid w:val="00BE6F64"/>
    <w:rsid w:val="00BE7428"/>
    <w:rsid w:val="00C03A5A"/>
    <w:rsid w:val="00C0515B"/>
    <w:rsid w:val="00C07DBC"/>
    <w:rsid w:val="00C1051A"/>
    <w:rsid w:val="00C128B0"/>
    <w:rsid w:val="00C1520D"/>
    <w:rsid w:val="00C367DA"/>
    <w:rsid w:val="00C52F28"/>
    <w:rsid w:val="00C54D6B"/>
    <w:rsid w:val="00C737DE"/>
    <w:rsid w:val="00C76849"/>
    <w:rsid w:val="00CB1F8E"/>
    <w:rsid w:val="00CB5579"/>
    <w:rsid w:val="00CC3EE7"/>
    <w:rsid w:val="00CD1755"/>
    <w:rsid w:val="00CD5019"/>
    <w:rsid w:val="00CD711A"/>
    <w:rsid w:val="00CE1FF1"/>
    <w:rsid w:val="00CE7B69"/>
    <w:rsid w:val="00CF155C"/>
    <w:rsid w:val="00D21EAB"/>
    <w:rsid w:val="00D269A4"/>
    <w:rsid w:val="00D30E09"/>
    <w:rsid w:val="00D468CE"/>
    <w:rsid w:val="00D64638"/>
    <w:rsid w:val="00D67D1C"/>
    <w:rsid w:val="00D77CBA"/>
    <w:rsid w:val="00D8019D"/>
    <w:rsid w:val="00D806B8"/>
    <w:rsid w:val="00D81BD5"/>
    <w:rsid w:val="00D84FE8"/>
    <w:rsid w:val="00D90016"/>
    <w:rsid w:val="00D90146"/>
    <w:rsid w:val="00D95E7F"/>
    <w:rsid w:val="00D96FF0"/>
    <w:rsid w:val="00DA3FD5"/>
    <w:rsid w:val="00DA5B51"/>
    <w:rsid w:val="00DA6962"/>
    <w:rsid w:val="00DB6696"/>
    <w:rsid w:val="00DC2241"/>
    <w:rsid w:val="00DC3F3B"/>
    <w:rsid w:val="00DC6158"/>
    <w:rsid w:val="00DD1D17"/>
    <w:rsid w:val="00DD38FF"/>
    <w:rsid w:val="00DD4B72"/>
    <w:rsid w:val="00DD4F7C"/>
    <w:rsid w:val="00DE23FD"/>
    <w:rsid w:val="00DE3FE4"/>
    <w:rsid w:val="00DE4C7B"/>
    <w:rsid w:val="00DE4D94"/>
    <w:rsid w:val="00DE4E0A"/>
    <w:rsid w:val="00DE5C3C"/>
    <w:rsid w:val="00DF54CF"/>
    <w:rsid w:val="00DF7A07"/>
    <w:rsid w:val="00E11286"/>
    <w:rsid w:val="00E15D08"/>
    <w:rsid w:val="00E26193"/>
    <w:rsid w:val="00E33A7F"/>
    <w:rsid w:val="00E40564"/>
    <w:rsid w:val="00E4467A"/>
    <w:rsid w:val="00E50D7F"/>
    <w:rsid w:val="00E55DE2"/>
    <w:rsid w:val="00E61CC8"/>
    <w:rsid w:val="00E61D4C"/>
    <w:rsid w:val="00E65A26"/>
    <w:rsid w:val="00E73620"/>
    <w:rsid w:val="00E75675"/>
    <w:rsid w:val="00E75807"/>
    <w:rsid w:val="00E8736E"/>
    <w:rsid w:val="00E902A2"/>
    <w:rsid w:val="00E938F4"/>
    <w:rsid w:val="00EB73F2"/>
    <w:rsid w:val="00EC1C76"/>
    <w:rsid w:val="00EC323C"/>
    <w:rsid w:val="00EC64C5"/>
    <w:rsid w:val="00EE020B"/>
    <w:rsid w:val="00EE1418"/>
    <w:rsid w:val="00EE2C7C"/>
    <w:rsid w:val="00EE4B68"/>
    <w:rsid w:val="00EE4C77"/>
    <w:rsid w:val="00EF6B6E"/>
    <w:rsid w:val="00F03528"/>
    <w:rsid w:val="00F077ED"/>
    <w:rsid w:val="00F12531"/>
    <w:rsid w:val="00F15941"/>
    <w:rsid w:val="00F20639"/>
    <w:rsid w:val="00F23822"/>
    <w:rsid w:val="00F3215B"/>
    <w:rsid w:val="00F323EE"/>
    <w:rsid w:val="00F3736C"/>
    <w:rsid w:val="00F52DF8"/>
    <w:rsid w:val="00F5563B"/>
    <w:rsid w:val="00F6295F"/>
    <w:rsid w:val="00F672B6"/>
    <w:rsid w:val="00F70A81"/>
    <w:rsid w:val="00F74185"/>
    <w:rsid w:val="00F8018A"/>
    <w:rsid w:val="00F9044D"/>
    <w:rsid w:val="00FB3572"/>
    <w:rsid w:val="00FB5420"/>
    <w:rsid w:val="00FC115F"/>
    <w:rsid w:val="00FC55C6"/>
    <w:rsid w:val="00FD0F6A"/>
    <w:rsid w:val="00FD49F1"/>
    <w:rsid w:val="00FE1D90"/>
    <w:rsid w:val="00FE23E6"/>
    <w:rsid w:val="00FE5E8E"/>
    <w:rsid w:val="00FF0384"/>
    <w:rsid w:val="00FF36DF"/>
    <w:rsid w:val="00FF60D6"/>
    <w:rsid w:val="00FF6DA3"/>
    <w:rsid w:val="00FF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C9FE"/>
  <w15:chartTrackingRefBased/>
  <w15:docId w15:val="{4D143273-4326-43A1-ABD6-AEBC277F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2D6"/>
    <w:pPr>
      <w:ind w:left="720"/>
      <w:contextualSpacing/>
    </w:pPr>
  </w:style>
  <w:style w:type="character" w:styleId="a4">
    <w:name w:val="Hyperlink"/>
    <w:basedOn w:val="a0"/>
    <w:uiPriority w:val="99"/>
    <w:unhideWhenUsed/>
    <w:rsid w:val="00F20639"/>
    <w:rPr>
      <w:color w:val="0563C1" w:themeColor="hyperlink"/>
      <w:u w:val="single"/>
    </w:rPr>
  </w:style>
  <w:style w:type="character" w:customStyle="1" w:styleId="1">
    <w:name w:val="Неразрешенное упоминание1"/>
    <w:basedOn w:val="a0"/>
    <w:uiPriority w:val="99"/>
    <w:semiHidden/>
    <w:unhideWhenUsed/>
    <w:rsid w:val="00F20639"/>
    <w:rPr>
      <w:color w:val="605E5C"/>
      <w:shd w:val="clear" w:color="auto" w:fill="E1DFDD"/>
    </w:rPr>
  </w:style>
  <w:style w:type="paragraph" w:styleId="a5">
    <w:name w:val="footnote text"/>
    <w:basedOn w:val="a"/>
    <w:link w:val="a6"/>
    <w:uiPriority w:val="99"/>
    <w:semiHidden/>
    <w:unhideWhenUsed/>
    <w:rsid w:val="00755269"/>
    <w:pPr>
      <w:spacing w:after="0" w:line="240" w:lineRule="auto"/>
    </w:pPr>
  </w:style>
  <w:style w:type="character" w:customStyle="1" w:styleId="a6">
    <w:name w:val="Текст сноски Знак"/>
    <w:basedOn w:val="a0"/>
    <w:link w:val="a5"/>
    <w:uiPriority w:val="99"/>
    <w:semiHidden/>
    <w:rsid w:val="00755269"/>
  </w:style>
  <w:style w:type="character" w:styleId="a7">
    <w:name w:val="footnote reference"/>
    <w:basedOn w:val="a0"/>
    <w:uiPriority w:val="99"/>
    <w:semiHidden/>
    <w:unhideWhenUsed/>
    <w:rsid w:val="00755269"/>
    <w:rPr>
      <w:vertAlign w:val="superscript"/>
    </w:rPr>
  </w:style>
  <w:style w:type="paragraph" w:styleId="a8">
    <w:name w:val="Balloon Text"/>
    <w:basedOn w:val="a"/>
    <w:link w:val="a9"/>
    <w:uiPriority w:val="99"/>
    <w:semiHidden/>
    <w:unhideWhenUsed/>
    <w:rsid w:val="00A761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61F3"/>
    <w:rPr>
      <w:rFonts w:ascii="Segoe UI" w:hAnsi="Segoe UI" w:cs="Segoe UI"/>
      <w:sz w:val="18"/>
      <w:szCs w:val="18"/>
    </w:rPr>
  </w:style>
  <w:style w:type="paragraph" w:styleId="aa">
    <w:name w:val="Revision"/>
    <w:hidden/>
    <w:uiPriority w:val="99"/>
    <w:semiHidden/>
    <w:rsid w:val="00AE00DC"/>
    <w:pPr>
      <w:spacing w:after="0" w:line="240" w:lineRule="auto"/>
    </w:pPr>
  </w:style>
  <w:style w:type="character" w:styleId="ab">
    <w:name w:val="FollowedHyperlink"/>
    <w:basedOn w:val="a0"/>
    <w:uiPriority w:val="99"/>
    <w:semiHidden/>
    <w:unhideWhenUsed/>
    <w:rsid w:val="0047116D"/>
    <w:rPr>
      <w:color w:val="954F72" w:themeColor="followedHyperlink"/>
      <w:u w:val="single"/>
    </w:rPr>
  </w:style>
  <w:style w:type="paragraph" w:styleId="ac">
    <w:name w:val="header"/>
    <w:basedOn w:val="a"/>
    <w:link w:val="ad"/>
    <w:uiPriority w:val="99"/>
    <w:unhideWhenUsed/>
    <w:rsid w:val="00E902A2"/>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E902A2"/>
  </w:style>
  <w:style w:type="paragraph" w:styleId="ae">
    <w:name w:val="footer"/>
    <w:basedOn w:val="a"/>
    <w:link w:val="af"/>
    <w:uiPriority w:val="99"/>
    <w:unhideWhenUsed/>
    <w:rsid w:val="00E902A2"/>
    <w:pPr>
      <w:tabs>
        <w:tab w:val="center" w:pos="4680"/>
        <w:tab w:val="right" w:pos="9360"/>
      </w:tabs>
      <w:spacing w:after="0" w:line="240" w:lineRule="auto"/>
    </w:pPr>
  </w:style>
  <w:style w:type="character" w:customStyle="1" w:styleId="af">
    <w:name w:val="Нижний колонтитул Знак"/>
    <w:basedOn w:val="a0"/>
    <w:link w:val="ae"/>
    <w:uiPriority w:val="99"/>
    <w:rsid w:val="00E902A2"/>
  </w:style>
  <w:style w:type="paragraph" w:customStyle="1" w:styleId="BlackStrips">
    <w:name w:val="Black Strips"/>
    <w:basedOn w:val="a"/>
    <w:qFormat/>
    <w:rsid w:val="001D2812"/>
    <w:pPr>
      <w:shd w:val="clear" w:color="auto" w:fill="000000"/>
      <w:spacing w:line="240" w:lineRule="auto"/>
      <w:jc w:val="center"/>
    </w:pPr>
    <w:rPr>
      <w:rFonts w:asciiTheme="minorHAnsi" w:eastAsia="SimSun" w:hAnsiTheme="minorHAnsi"/>
      <w:color w:val="FFFFFF"/>
      <w:sz w:val="24"/>
      <w:szCs w:val="24"/>
      <w:lang w:val="en-GB" w:eastAsia="en-US"/>
    </w:rPr>
  </w:style>
  <w:style w:type="paragraph" w:customStyle="1" w:styleId="ReadOnline">
    <w:name w:val="Read Online"/>
    <w:basedOn w:val="a"/>
    <w:qFormat/>
    <w:rsid w:val="001D2812"/>
    <w:pPr>
      <w:spacing w:line="240" w:lineRule="auto"/>
      <w:jc w:val="center"/>
    </w:pPr>
    <w:rPr>
      <w:rFonts w:asciiTheme="minorHAnsi" w:eastAsia="SimSun" w:hAnsiTheme="minorHAnsi"/>
      <w:color w:val="00000A"/>
      <w:sz w:val="28"/>
      <w:szCs w:val="24"/>
      <w:u w:val="single"/>
      <w:lang w:val="en-GB" w:eastAsia="en-US"/>
    </w:rPr>
  </w:style>
  <w:style w:type="paragraph" w:customStyle="1" w:styleId="Disclaimer">
    <w:name w:val="Disclaimer"/>
    <w:basedOn w:val="a"/>
    <w:qFormat/>
    <w:rsid w:val="001D2812"/>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asciiTheme="minorHAnsi" w:eastAsia="SimSun" w:hAnsiTheme="minorHAnsi"/>
      <w:color w:val="00000A"/>
      <w:sz w:val="24"/>
      <w:szCs w:val="24"/>
      <w:lang w:val="en-GB" w:eastAsia="en-US"/>
    </w:rPr>
  </w:style>
  <w:style w:type="paragraph" w:customStyle="1" w:styleId="DisclaimerBold">
    <w:name w:val="Disclaimer Bold"/>
    <w:basedOn w:val="Disclaimer"/>
    <w:qFormat/>
    <w:rsid w:val="001D2812"/>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ma-issues-proposals-for-regulating-payment-related-stablecoins/" TargetMode="External"/><Relationship Id="rId13" Type="http://schemas.openxmlformats.org/officeDocument/2006/relationships/hyperlink" Target="https://www.sfc.hk/-/media/EN/files/ER/PDF/20191106-Position-Paper-and-Appendix-1-to-Position-Paper-Eng.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tablecoin_feedback@hkma.gov.h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ma.gov.hk/media/eng/doc/key-information/guidelines-and-circular/2022/20220128e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arltonslaw.com/fstb-concludes-consultation-on-licensing-regime-for-hong-kong-virtual-asset-exchanges/" TargetMode="External"/><Relationship Id="rId23" Type="http://schemas.openxmlformats.org/officeDocument/2006/relationships/fontTable" Target="fontTable.xml"/><Relationship Id="rId10" Type="http://schemas.openxmlformats.org/officeDocument/2006/relationships/hyperlink" Target="https://www.hkma.gov.hk/media/eng/doc/key-information/guidelines-and-circular/2022/20220128e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kma.gov.hk/media/eng/doc/key-information/press-release/2022/20220112e3a1.pdf" TargetMode="External"/><Relationship Id="rId14" Type="http://schemas.openxmlformats.org/officeDocument/2006/relationships/hyperlink" Target="https://www.charltonslaw.com/fstb-concludes-consultation-on-licensing-regime-for-hong-kong-virtual-asset-exchang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1A80DB-E107-40CE-8677-F4A9AD96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8</Pages>
  <Words>3762</Words>
  <Characters>21447</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Microsoft Office User</cp:lastModifiedBy>
  <cp:revision>28</cp:revision>
  <dcterms:created xsi:type="dcterms:W3CDTF">2022-01-20T07:01:00Z</dcterms:created>
  <dcterms:modified xsi:type="dcterms:W3CDTF">2022-02-08T08:00:00Z</dcterms:modified>
</cp:coreProperties>
</file>