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833FA" w14:textId="6EDAEA18" w:rsidR="00221724" w:rsidRPr="00221724" w:rsidRDefault="00221724" w:rsidP="00221724">
      <w:pPr>
        <w:pStyle w:val="BlackStrips"/>
        <w:rPr>
          <w:rFonts w:ascii="Calibri" w:hAnsi="Calibri" w:cs="Calibri"/>
        </w:rPr>
      </w:pPr>
      <w:proofErr w:type="spellStart"/>
      <w:r w:rsidRPr="00221724">
        <w:rPr>
          <w:rFonts w:ascii="Calibri" w:hAnsi="Calibri" w:cs="Calibri"/>
        </w:rPr>
        <w:t>Charltons</w:t>
      </w:r>
      <w:proofErr w:type="spellEnd"/>
      <w:r w:rsidRPr="00221724">
        <w:rPr>
          <w:rFonts w:ascii="Calibri" w:hAnsi="Calibri" w:cs="Calibri"/>
        </w:rPr>
        <w:t xml:space="preserve"> - Hong Kong Law - </w:t>
      </w:r>
      <w:r>
        <w:rPr>
          <w:rFonts w:ascii="Calibri" w:hAnsi="Calibri" w:cs="Calibri"/>
        </w:rPr>
        <w:t>07</w:t>
      </w:r>
      <w:r w:rsidRPr="00221724">
        <w:rPr>
          <w:rFonts w:ascii="Calibri" w:hAnsi="Calibri" w:cs="Calibri"/>
        </w:rPr>
        <w:t xml:space="preserve"> </w:t>
      </w:r>
      <w:r>
        <w:rPr>
          <w:rFonts w:ascii="Calibri" w:hAnsi="Calibri" w:cs="Calibri"/>
        </w:rPr>
        <w:t>January</w:t>
      </w:r>
      <w:r w:rsidRPr="00221724">
        <w:rPr>
          <w:rFonts w:ascii="Calibri" w:hAnsi="Calibri" w:cs="Calibri"/>
        </w:rPr>
        <w:t xml:space="preserve"> 2021</w:t>
      </w:r>
    </w:p>
    <w:p w14:paraId="6635F36B" w14:textId="1CDB99F9" w:rsidR="00221724" w:rsidRPr="00221724" w:rsidRDefault="00221724" w:rsidP="00221724">
      <w:pPr>
        <w:pStyle w:val="ReadOnline"/>
        <w:rPr>
          <w:rFonts w:ascii="Calibri" w:hAnsi="Calibri" w:cs="Calibri"/>
        </w:rPr>
      </w:pPr>
      <w:hyperlink r:id="rId8">
        <w:r w:rsidRPr="00221724">
          <w:rPr>
            <w:rFonts w:ascii="Calibri" w:hAnsi="Calibri" w:cs="Calibri"/>
          </w:rPr>
          <w:t>online version</w:t>
        </w:r>
      </w:hyperlink>
    </w:p>
    <w:p w14:paraId="3F63D713" w14:textId="2ACBC449" w:rsidR="00552DED" w:rsidRPr="006443C2" w:rsidRDefault="00552DED" w:rsidP="00126F32">
      <w:pPr>
        <w:spacing w:after="0"/>
        <w:jc w:val="both"/>
        <w:rPr>
          <w:b/>
          <w:color w:val="C00000"/>
          <w:sz w:val="36"/>
          <w:szCs w:val="36"/>
        </w:rPr>
      </w:pPr>
      <w:r w:rsidRPr="006443C2">
        <w:rPr>
          <w:b/>
          <w:color w:val="C00000"/>
          <w:sz w:val="36"/>
          <w:szCs w:val="36"/>
        </w:rPr>
        <w:t>HKEX Corporate Governance Code</w:t>
      </w:r>
      <w:r w:rsidR="00126F32">
        <w:rPr>
          <w:b/>
          <w:color w:val="C00000"/>
          <w:sz w:val="36"/>
          <w:szCs w:val="36"/>
        </w:rPr>
        <w:t xml:space="preserve"> and Listing Rule Changes Effective 1 Jan 2022</w:t>
      </w:r>
    </w:p>
    <w:p w14:paraId="743ECA5E" w14:textId="77777777" w:rsidR="00552DED" w:rsidRDefault="00552DED" w:rsidP="002D7557">
      <w:pPr>
        <w:spacing w:after="0"/>
      </w:pPr>
    </w:p>
    <w:p w14:paraId="27E66984" w14:textId="77777777" w:rsidR="007C58D6" w:rsidRDefault="00552DED" w:rsidP="006A0BBB">
      <w:pPr>
        <w:spacing w:after="0"/>
        <w:jc w:val="both"/>
      </w:pPr>
      <w:r>
        <w:t xml:space="preserve">On 10 December 2021, </w:t>
      </w:r>
      <w:r w:rsidRPr="00552DED">
        <w:t>the Stock Exchange of Hong Kong Limited (</w:t>
      </w:r>
      <w:r w:rsidR="00B674C9">
        <w:t xml:space="preserve">the </w:t>
      </w:r>
      <w:r w:rsidRPr="006A40D5">
        <w:rPr>
          <w:b/>
        </w:rPr>
        <w:t>HKEX</w:t>
      </w:r>
      <w:r w:rsidRPr="00552DED">
        <w:t>) published conclusions to its consultation on</w:t>
      </w:r>
      <w:r w:rsidR="006D580A">
        <w:t xml:space="preserve"> </w:t>
      </w:r>
      <w:r w:rsidR="006A40D5">
        <w:t xml:space="preserve">enhancing </w:t>
      </w:r>
      <w:r w:rsidR="00126F32">
        <w:t xml:space="preserve">listed companies’ </w:t>
      </w:r>
      <w:r w:rsidR="006A40D5">
        <w:t>corporate governance practices and reporting</w:t>
      </w:r>
      <w:r w:rsidR="00B803B7">
        <w:rPr>
          <w:rStyle w:val="a5"/>
        </w:rPr>
        <w:footnoteReference w:id="1"/>
      </w:r>
      <w:r w:rsidR="007C58D6">
        <w:t>.</w:t>
      </w:r>
      <w:r w:rsidR="006D580A">
        <w:t xml:space="preserve"> </w:t>
      </w:r>
      <w:r w:rsidR="007C58D6">
        <w:t>T</w:t>
      </w:r>
      <w:r w:rsidR="007C58D6" w:rsidRPr="006B547B">
        <w:t>he HKEX received</w:t>
      </w:r>
      <w:r w:rsidR="007C58D6">
        <w:t xml:space="preserve"> 214 submissions which </w:t>
      </w:r>
      <w:r w:rsidR="007C58D6" w:rsidRPr="0068059D">
        <w:t>were generally supportive of</w:t>
      </w:r>
      <w:r w:rsidR="007C58D6">
        <w:t xml:space="preserve"> strengthen</w:t>
      </w:r>
      <w:r w:rsidR="006A0BBB">
        <w:t>ing</w:t>
      </w:r>
      <w:r w:rsidR="007C58D6">
        <w:t xml:space="preserve"> board independence and pr</w:t>
      </w:r>
      <w:r w:rsidR="006A0BBB">
        <w:t>omoting</w:t>
      </w:r>
      <w:r w:rsidR="007C58D6">
        <w:t xml:space="preserve"> better gender diversity</w:t>
      </w:r>
      <w:r w:rsidR="00126F32">
        <w:t xml:space="preserve"> on company boards</w:t>
      </w:r>
      <w:r w:rsidR="007C58D6">
        <w:t>. However, respondents had diverse views on proposals regarding re-election of independent non-executive d</w:t>
      </w:r>
      <w:r w:rsidR="007C58D6" w:rsidRPr="007527C5">
        <w:t>irector</w:t>
      </w:r>
      <w:r w:rsidR="006A0BBB">
        <w:t>s (</w:t>
      </w:r>
      <w:r w:rsidR="007C58D6" w:rsidRPr="007527C5">
        <w:rPr>
          <w:b/>
        </w:rPr>
        <w:t>INED</w:t>
      </w:r>
      <w:r w:rsidR="006A0BBB">
        <w:rPr>
          <w:b/>
        </w:rPr>
        <w:t>s</w:t>
      </w:r>
      <w:r w:rsidR="007C58D6">
        <w:t>) serving more than nine years and the target</w:t>
      </w:r>
      <w:r w:rsidR="000341D3">
        <w:t>s and timelines for</w:t>
      </w:r>
      <w:r w:rsidR="007C58D6">
        <w:t xml:space="preserve"> boardroom gender diversity. </w:t>
      </w:r>
    </w:p>
    <w:p w14:paraId="4D6AC00C" w14:textId="77777777" w:rsidR="007C58D6" w:rsidRDefault="007C58D6" w:rsidP="006A0BBB">
      <w:pPr>
        <w:spacing w:after="0"/>
        <w:jc w:val="both"/>
      </w:pPr>
    </w:p>
    <w:p w14:paraId="1356770F" w14:textId="77777777" w:rsidR="0087755E" w:rsidRDefault="006D580A" w:rsidP="006A0BBB">
      <w:pPr>
        <w:spacing w:after="0"/>
        <w:jc w:val="both"/>
      </w:pPr>
      <w:r w:rsidRPr="006D580A">
        <w:t>For a summary of the original consultation paper proposal</w:t>
      </w:r>
      <w:r>
        <w:t xml:space="preserve">s, please see </w:t>
      </w:r>
      <w:hyperlink r:id="rId9" w:history="1">
        <w:proofErr w:type="spellStart"/>
        <w:r w:rsidRPr="00126F32">
          <w:rPr>
            <w:rStyle w:val="a6"/>
          </w:rPr>
          <w:t>Charltons</w:t>
        </w:r>
        <w:proofErr w:type="spellEnd"/>
        <w:r w:rsidRPr="00126F32">
          <w:rPr>
            <w:rStyle w:val="a6"/>
          </w:rPr>
          <w:t>’ April 2021 newsletter</w:t>
        </w:r>
      </w:hyperlink>
      <w:r w:rsidR="000C3F6B">
        <w:rPr>
          <w:rStyle w:val="a5"/>
        </w:rPr>
        <w:footnoteReference w:id="2"/>
      </w:r>
      <w:r w:rsidRPr="006D580A">
        <w:t>.</w:t>
      </w:r>
    </w:p>
    <w:p w14:paraId="77224719" w14:textId="77777777" w:rsidR="006B547B" w:rsidRDefault="006B547B" w:rsidP="006A0BBB">
      <w:pPr>
        <w:spacing w:after="0"/>
        <w:jc w:val="both"/>
      </w:pPr>
    </w:p>
    <w:p w14:paraId="790E8350" w14:textId="77777777" w:rsidR="007C58D6" w:rsidRDefault="007C58D6" w:rsidP="006A0BBB">
      <w:pPr>
        <w:spacing w:after="0"/>
        <w:jc w:val="both"/>
      </w:pPr>
      <w:r>
        <w:t xml:space="preserve">Corporate Governance </w:t>
      </w:r>
      <w:r w:rsidR="001220C1">
        <w:t xml:space="preserve">Code </w:t>
      </w:r>
      <w:r w:rsidR="00DC360F">
        <w:t>and related Listing Rule amendments</w:t>
      </w:r>
      <w:r>
        <w:t xml:space="preserve"> </w:t>
      </w:r>
      <w:r w:rsidR="00DC360F">
        <w:t>took</w:t>
      </w:r>
      <w:r w:rsidRPr="00393396">
        <w:t xml:space="preserve"> effect </w:t>
      </w:r>
      <w:r w:rsidR="00DC360F">
        <w:t xml:space="preserve">on </w:t>
      </w:r>
      <w:r w:rsidRPr="00393396">
        <w:t>1 Jan</w:t>
      </w:r>
      <w:r w:rsidR="00C72BCE">
        <w:t>uary</w:t>
      </w:r>
      <w:r>
        <w:rPr>
          <w:rFonts w:ascii="Arial" w:hAnsi="Arial" w:cs="Arial"/>
          <w:sz w:val="20"/>
          <w:szCs w:val="20"/>
        </w:rPr>
        <w:t xml:space="preserve"> </w:t>
      </w:r>
      <w:r w:rsidRPr="00393396">
        <w:t>2022</w:t>
      </w:r>
      <w:r w:rsidR="00B95B8D">
        <w:t>, although</w:t>
      </w:r>
      <w:r>
        <w:t xml:space="preserve"> </w:t>
      </w:r>
      <w:r w:rsidR="00B95B8D">
        <w:t>a</w:t>
      </w:r>
      <w:r w:rsidR="00922822">
        <w:t xml:space="preserve"> </w:t>
      </w:r>
      <w:r w:rsidR="00DC360F">
        <w:t xml:space="preserve">requirement to appoint a new INED if issuers’ current </w:t>
      </w:r>
      <w:r w:rsidR="00C72BCE">
        <w:t xml:space="preserve">INEDs have </w:t>
      </w:r>
      <w:r w:rsidR="00B95B8D">
        <w:t xml:space="preserve">all </w:t>
      </w:r>
      <w:r w:rsidR="00C72BCE">
        <w:t>served nine years</w:t>
      </w:r>
      <w:r w:rsidR="00DC360F">
        <w:t xml:space="preserve"> takes effect on 1 January 2023</w:t>
      </w:r>
      <w:r w:rsidR="00922822">
        <w:t xml:space="preserve">. </w:t>
      </w:r>
      <w:r w:rsidRPr="007C58D6">
        <w:t xml:space="preserve">The key </w:t>
      </w:r>
      <w:r w:rsidR="006A0BBB">
        <w:t xml:space="preserve">changes to the HKEX Listing Rules </w:t>
      </w:r>
      <w:r w:rsidR="00ED39A5" w:rsidRPr="00ED39A5">
        <w:t xml:space="preserve">and Corporate Governance Code </w:t>
      </w:r>
      <w:r w:rsidRPr="007C58D6">
        <w:t xml:space="preserve">are </w:t>
      </w:r>
      <w:proofErr w:type="spellStart"/>
      <w:r w:rsidRPr="007C58D6">
        <w:t>summarised</w:t>
      </w:r>
      <w:proofErr w:type="spellEnd"/>
      <w:r w:rsidRPr="007C58D6">
        <w:t xml:space="preserve"> </w:t>
      </w:r>
      <w:r w:rsidR="006A0BBB">
        <w:t>below.</w:t>
      </w:r>
    </w:p>
    <w:p w14:paraId="3CD0905E" w14:textId="77777777" w:rsidR="00F4718C" w:rsidRDefault="00F4718C" w:rsidP="006A0BBB">
      <w:pPr>
        <w:spacing w:after="0"/>
        <w:jc w:val="both"/>
      </w:pPr>
    </w:p>
    <w:p w14:paraId="283F4D2D" w14:textId="77777777" w:rsidR="00F4718C" w:rsidRDefault="00F4718C" w:rsidP="006A0BBB">
      <w:pPr>
        <w:spacing w:after="0"/>
        <w:jc w:val="both"/>
      </w:pPr>
      <w:r>
        <w:t xml:space="preserve">The HKEX has also published a new </w:t>
      </w:r>
      <w:hyperlink r:id="rId10" w:history="1">
        <w:r w:rsidRPr="00F4718C">
          <w:rPr>
            <w:rStyle w:val="a6"/>
          </w:rPr>
          <w:t>Corporate Governance Guide for Boards and Directors</w:t>
        </w:r>
      </w:hyperlink>
      <w:r>
        <w:t xml:space="preserve"> to assist issuers in complying with the new requirements. </w:t>
      </w:r>
    </w:p>
    <w:p w14:paraId="1F8087D3" w14:textId="77777777" w:rsidR="00ED39A5" w:rsidRDefault="00ED39A5" w:rsidP="006A0BBB">
      <w:pPr>
        <w:spacing w:after="0"/>
        <w:jc w:val="both"/>
      </w:pPr>
    </w:p>
    <w:p w14:paraId="20E76047" w14:textId="77777777" w:rsidR="001220C1" w:rsidRDefault="006A0BBB" w:rsidP="002D7557">
      <w:pPr>
        <w:spacing w:after="0"/>
        <w:rPr>
          <w:b/>
        </w:rPr>
      </w:pPr>
      <w:r>
        <w:rPr>
          <w:b/>
        </w:rPr>
        <w:t>HKEX Corporate Governance Code</w:t>
      </w:r>
      <w:r w:rsidR="001220C1" w:rsidRPr="002D7557">
        <w:rPr>
          <w:b/>
        </w:rPr>
        <w:t xml:space="preserve"> </w:t>
      </w:r>
      <w:r w:rsidR="009175A3">
        <w:rPr>
          <w:b/>
        </w:rPr>
        <w:t>revised s</w:t>
      </w:r>
      <w:r w:rsidR="001220C1" w:rsidRPr="002D7557">
        <w:rPr>
          <w:b/>
        </w:rPr>
        <w:t xml:space="preserve">tructure </w:t>
      </w:r>
    </w:p>
    <w:p w14:paraId="6765473A" w14:textId="77777777" w:rsidR="002D7557" w:rsidRPr="002D7557" w:rsidRDefault="002D7557" w:rsidP="002D7557">
      <w:pPr>
        <w:spacing w:after="0"/>
        <w:rPr>
          <w:b/>
        </w:rPr>
      </w:pPr>
    </w:p>
    <w:p w14:paraId="336A6831" w14:textId="77777777" w:rsidR="001220C1" w:rsidRDefault="001220C1" w:rsidP="00183DCC">
      <w:pPr>
        <w:spacing w:after="0"/>
        <w:jc w:val="both"/>
      </w:pPr>
      <w:r>
        <w:t xml:space="preserve">The HKEX has renamed </w:t>
      </w:r>
      <w:r w:rsidR="006A0BBB">
        <w:t>Appendix 14 to</w:t>
      </w:r>
      <w:r w:rsidR="00F27189">
        <w:t xml:space="preserve"> the Main Board Listing Rules</w:t>
      </w:r>
      <w:r w:rsidR="00137835">
        <w:t xml:space="preserve"> </w:t>
      </w:r>
      <w:r w:rsidR="006A0BBB">
        <w:t>and Appendix 15 to the GEM Rules as the</w:t>
      </w:r>
      <w:r w:rsidR="00F27189">
        <w:t xml:space="preserve"> </w:t>
      </w:r>
      <w:r w:rsidR="006A0BBB">
        <w:t>“</w:t>
      </w:r>
      <w:r w:rsidR="00F27189">
        <w:t>Corporate Governance Code</w:t>
      </w:r>
      <w:r w:rsidR="006A0BBB">
        <w:t>”</w:t>
      </w:r>
      <w:r w:rsidR="00F27189">
        <w:t xml:space="preserve"> </w:t>
      </w:r>
      <w:r w:rsidR="004675A9">
        <w:t xml:space="preserve">and </w:t>
      </w:r>
      <w:r w:rsidR="00183DCC">
        <w:t xml:space="preserve">rearranged </w:t>
      </w:r>
      <w:r w:rsidR="00201C02">
        <w:t xml:space="preserve">it </w:t>
      </w:r>
      <w:r w:rsidR="00E22EEB">
        <w:t>into P</w:t>
      </w:r>
      <w:r w:rsidR="00201C02">
        <w:t xml:space="preserve">art 1 – mandatory </w:t>
      </w:r>
      <w:r w:rsidR="00E22EEB">
        <w:t>disclosure requirements and P</w:t>
      </w:r>
      <w:r w:rsidR="00201C02">
        <w:t xml:space="preserve">art 2 </w:t>
      </w:r>
      <w:r w:rsidR="009B3F53">
        <w:t>–</w:t>
      </w:r>
      <w:r w:rsidR="00201C02">
        <w:t xml:space="preserve"> </w:t>
      </w:r>
      <w:r w:rsidR="009B3F53">
        <w:t>principles of good corporate governance</w:t>
      </w:r>
      <w:r w:rsidR="006A0BBB">
        <w:t xml:space="preserve"> (</w:t>
      </w:r>
      <w:r w:rsidR="00436DAF" w:rsidRPr="00436DAF">
        <w:rPr>
          <w:b/>
        </w:rPr>
        <w:t>Principles</w:t>
      </w:r>
      <w:r w:rsidR="00436DAF">
        <w:t>)</w:t>
      </w:r>
      <w:r w:rsidR="009B3F53">
        <w:t>, code provisions</w:t>
      </w:r>
      <w:r w:rsidR="00922822">
        <w:t xml:space="preserve"> (</w:t>
      </w:r>
      <w:r w:rsidR="00922822" w:rsidRPr="00922822">
        <w:rPr>
          <w:b/>
        </w:rPr>
        <w:t>CPs</w:t>
      </w:r>
      <w:r w:rsidR="00922822">
        <w:t>)</w:t>
      </w:r>
      <w:r w:rsidR="009B3F53">
        <w:t xml:space="preserve"> and recommended best practices </w:t>
      </w:r>
      <w:r w:rsidR="00922822">
        <w:t>(</w:t>
      </w:r>
      <w:r w:rsidR="00922822" w:rsidRPr="00922822">
        <w:rPr>
          <w:b/>
        </w:rPr>
        <w:t>RBPs</w:t>
      </w:r>
      <w:r w:rsidR="00922822">
        <w:t xml:space="preserve">) </w:t>
      </w:r>
      <w:r w:rsidR="009B3F53">
        <w:t xml:space="preserve">to improve </w:t>
      </w:r>
      <w:r w:rsidR="009B3F53" w:rsidRPr="009B3F53">
        <w:t>readability</w:t>
      </w:r>
      <w:r w:rsidR="009B3F53">
        <w:t xml:space="preserve">. </w:t>
      </w:r>
    </w:p>
    <w:p w14:paraId="142BFDC4" w14:textId="77777777" w:rsidR="00D96377" w:rsidRDefault="00D96377" w:rsidP="00183DCC">
      <w:pPr>
        <w:spacing w:after="0"/>
        <w:jc w:val="both"/>
      </w:pPr>
    </w:p>
    <w:p w14:paraId="76B2F322" w14:textId="238378A6" w:rsidR="00DC4B23" w:rsidRDefault="00F60AC1" w:rsidP="00183DCC">
      <w:pPr>
        <w:spacing w:after="0"/>
        <w:jc w:val="both"/>
      </w:pPr>
      <w:r>
        <w:t xml:space="preserve">The mandatory disclosure requirements </w:t>
      </w:r>
      <w:r w:rsidR="00DC4B23">
        <w:t>under Part 1</w:t>
      </w:r>
      <w:r w:rsidR="007501A1">
        <w:t xml:space="preserve"> of the </w:t>
      </w:r>
      <w:r w:rsidR="00A76B4C" w:rsidRPr="00ED39A5">
        <w:t xml:space="preserve">Corporate Governance </w:t>
      </w:r>
      <w:r w:rsidR="007501A1">
        <w:t>Code</w:t>
      </w:r>
      <w:r w:rsidR="00DC4B23">
        <w:t xml:space="preserve"> </w:t>
      </w:r>
      <w:r w:rsidR="00183DCC">
        <w:t xml:space="preserve">are required to </w:t>
      </w:r>
      <w:r w:rsidR="00DC4B23">
        <w:t>be disclosed in an issuer’</w:t>
      </w:r>
      <w:r w:rsidR="006A0BBB">
        <w:t>s corporate governance report</w:t>
      </w:r>
      <w:r w:rsidR="00DC4B23">
        <w:t xml:space="preserve">. </w:t>
      </w:r>
    </w:p>
    <w:p w14:paraId="4A2662A0" w14:textId="77777777" w:rsidR="00DC4B23" w:rsidRDefault="00DC4B23" w:rsidP="00183DCC">
      <w:pPr>
        <w:spacing w:after="0"/>
        <w:jc w:val="both"/>
      </w:pPr>
    </w:p>
    <w:p w14:paraId="3DA276F5" w14:textId="4FC617A7" w:rsidR="00D96377" w:rsidRDefault="00436DAF" w:rsidP="00183DCC">
      <w:pPr>
        <w:spacing w:after="0"/>
        <w:jc w:val="both"/>
      </w:pPr>
      <w:r>
        <w:t>The Princ</w:t>
      </w:r>
      <w:r w:rsidR="00673CFE">
        <w:t xml:space="preserve">iples under Part 2 of </w:t>
      </w:r>
      <w:r w:rsidR="00A76B4C">
        <w:t xml:space="preserve">the </w:t>
      </w:r>
      <w:r w:rsidR="00A76B4C" w:rsidRPr="00ED39A5">
        <w:t xml:space="preserve">Corporate Governance </w:t>
      </w:r>
      <w:r w:rsidR="00673CFE">
        <w:t>Code are</w:t>
      </w:r>
      <w:r w:rsidR="006A0BBB">
        <w:t xml:space="preserve"> implemented on a “</w:t>
      </w:r>
      <w:r>
        <w:t xml:space="preserve">comply and explain” basis. Issuers must state whether </w:t>
      </w:r>
      <w:r w:rsidR="00AB5E44">
        <w:t>they have complied with the code provisions</w:t>
      </w:r>
      <w:r w:rsidR="006A0BBB">
        <w:t xml:space="preserve"> (</w:t>
      </w:r>
      <w:r w:rsidR="0008759A" w:rsidRPr="0008759A">
        <w:rPr>
          <w:b/>
        </w:rPr>
        <w:t>CPs</w:t>
      </w:r>
      <w:r w:rsidR="0008759A">
        <w:t>)</w:t>
      </w:r>
      <w:r w:rsidR="00AB5E44">
        <w:t xml:space="preserve"> </w:t>
      </w:r>
      <w:r w:rsidR="00922822">
        <w:t xml:space="preserve">and explain any diversion from them </w:t>
      </w:r>
      <w:r w:rsidR="00AB5E44">
        <w:t xml:space="preserve">in their annual reports </w:t>
      </w:r>
      <w:r w:rsidR="005612B5">
        <w:t xml:space="preserve">(and summary financial reports, if any) </w:t>
      </w:r>
      <w:r w:rsidR="00AB5E44">
        <w:t>and interim reports</w:t>
      </w:r>
      <w:r w:rsidR="005612B5">
        <w:t xml:space="preserve"> (and summary interim reports, if any)</w:t>
      </w:r>
      <w:r w:rsidR="00AB5E44">
        <w:t xml:space="preserve">. </w:t>
      </w:r>
    </w:p>
    <w:p w14:paraId="1CBA5EE3" w14:textId="77777777" w:rsidR="00F55CD9" w:rsidRDefault="00F55CD9" w:rsidP="002D7557">
      <w:pPr>
        <w:spacing w:after="0"/>
      </w:pPr>
    </w:p>
    <w:p w14:paraId="34D6E1B0" w14:textId="77777777" w:rsidR="00ED39A5" w:rsidRDefault="00692569" w:rsidP="002D7557">
      <w:pPr>
        <w:spacing w:after="0"/>
        <w:rPr>
          <w:b/>
        </w:rPr>
      </w:pPr>
      <w:r w:rsidRPr="002D7557">
        <w:rPr>
          <w:b/>
        </w:rPr>
        <w:t>Culture</w:t>
      </w:r>
      <w:r w:rsidR="009175A3">
        <w:rPr>
          <w:b/>
        </w:rPr>
        <w:t xml:space="preserve"> and whistleblowing p</w:t>
      </w:r>
      <w:r w:rsidR="00183DCC">
        <w:rPr>
          <w:b/>
        </w:rPr>
        <w:t>olicy</w:t>
      </w:r>
    </w:p>
    <w:p w14:paraId="329CF1C2" w14:textId="77777777" w:rsidR="002D7557" w:rsidRPr="002D7557" w:rsidRDefault="002D7557" w:rsidP="002D7557">
      <w:pPr>
        <w:spacing w:after="0"/>
        <w:rPr>
          <w:b/>
        </w:rPr>
      </w:pPr>
    </w:p>
    <w:p w14:paraId="49F36AA1" w14:textId="77777777" w:rsidR="00692569" w:rsidRDefault="00183DCC" w:rsidP="00183DCC">
      <w:pPr>
        <w:spacing w:after="0"/>
        <w:jc w:val="both"/>
      </w:pPr>
      <w:r>
        <w:t xml:space="preserve">Listed company </w:t>
      </w:r>
      <w:r w:rsidR="008B4CA8">
        <w:t>board</w:t>
      </w:r>
      <w:r>
        <w:t>s</w:t>
      </w:r>
      <w:r w:rsidR="008B4CA8">
        <w:t xml:space="preserve"> </w:t>
      </w:r>
      <w:r>
        <w:t>are</w:t>
      </w:r>
      <w:r w:rsidR="00991659">
        <w:t xml:space="preserve"> required to</w:t>
      </w:r>
      <w:r>
        <w:t xml:space="preserve"> align the issuer’s culture with</w:t>
      </w:r>
      <w:r w:rsidR="00425BE6">
        <w:t xml:space="preserve"> its</w:t>
      </w:r>
      <w:r>
        <w:t xml:space="preserve"> purpose</w:t>
      </w:r>
      <w:r w:rsidR="00991659">
        <w:t xml:space="preserve">, values and strategy, and </w:t>
      </w:r>
      <w:r w:rsidR="001517CE">
        <w:t xml:space="preserve">all directors </w:t>
      </w:r>
      <w:r w:rsidR="00991659">
        <w:t xml:space="preserve">are required </w:t>
      </w:r>
      <w:r w:rsidR="001517CE">
        <w:t xml:space="preserve">to act with integrity, </w:t>
      </w:r>
      <w:proofErr w:type="spellStart"/>
      <w:r w:rsidR="001517CE">
        <w:t>lead</w:t>
      </w:r>
      <w:proofErr w:type="spellEnd"/>
      <w:r w:rsidR="001517CE">
        <w:t xml:space="preserve"> by example and promote the desired culture</w:t>
      </w:r>
      <w:r w:rsidR="00991659">
        <w:t xml:space="preserve"> under new CP A.1.1</w:t>
      </w:r>
      <w:r w:rsidR="001517CE">
        <w:t xml:space="preserve">. </w:t>
      </w:r>
    </w:p>
    <w:p w14:paraId="1A4E8373" w14:textId="77777777" w:rsidR="00237448" w:rsidRDefault="00237448" w:rsidP="00183DCC">
      <w:pPr>
        <w:spacing w:after="0"/>
        <w:jc w:val="both"/>
      </w:pPr>
    </w:p>
    <w:p w14:paraId="511587E7" w14:textId="77777777" w:rsidR="003134E2" w:rsidRDefault="00183DCC" w:rsidP="00183DCC">
      <w:pPr>
        <w:spacing w:after="0"/>
        <w:jc w:val="both"/>
      </w:pPr>
      <w:r>
        <w:t xml:space="preserve">Listed issuers are also required to </w:t>
      </w:r>
      <w:r w:rsidR="00E22EEB">
        <w:t xml:space="preserve">establish a whistleblowing policy </w:t>
      </w:r>
      <w:r>
        <w:t xml:space="preserve">under new CP D.2.6 which was previously a </w:t>
      </w:r>
      <w:r w:rsidR="00922822">
        <w:t xml:space="preserve">RBP </w:t>
      </w:r>
      <w:r>
        <w:t>only. New CP D.2.7 requires issuers to establish policy(</w:t>
      </w:r>
      <w:proofErr w:type="spellStart"/>
      <w:r>
        <w:t>ies</w:t>
      </w:r>
      <w:proofErr w:type="spellEnd"/>
      <w:r>
        <w:t xml:space="preserve">) </w:t>
      </w:r>
      <w:r w:rsidR="00E22EEB">
        <w:t>and system</w:t>
      </w:r>
      <w:r>
        <w:t>(</w:t>
      </w:r>
      <w:r w:rsidR="00E22EEB">
        <w:t>s</w:t>
      </w:r>
      <w:r>
        <w:t>)</w:t>
      </w:r>
      <w:r w:rsidR="00E22EEB">
        <w:t xml:space="preserve"> that promote and support anti-corruption laws and regulations</w:t>
      </w:r>
      <w:r w:rsidR="00D96377">
        <w:t xml:space="preserve">. </w:t>
      </w:r>
      <w:r w:rsidR="00130091">
        <w:t>Information relating to issuers’</w:t>
      </w:r>
      <w:r w:rsidR="00AF242C">
        <w:t xml:space="preserve"> anti-corruption</w:t>
      </w:r>
      <w:r w:rsidR="00130091">
        <w:t xml:space="preserve"> and whistleblowing policies</w:t>
      </w:r>
      <w:r w:rsidR="00AF242C">
        <w:t xml:space="preserve"> </w:t>
      </w:r>
      <w:r w:rsidR="003D2AC4">
        <w:t xml:space="preserve">is already required </w:t>
      </w:r>
      <w:r w:rsidR="00130091">
        <w:t>to be disclosed on a comply or explain basis</w:t>
      </w:r>
      <w:r w:rsidR="003D2AC4" w:rsidRPr="003D2AC4">
        <w:t xml:space="preserve"> in </w:t>
      </w:r>
      <w:r w:rsidR="003D2AC4">
        <w:t>environmental, social and g</w:t>
      </w:r>
      <w:r w:rsidR="003D2AC4" w:rsidRPr="003D2AC4">
        <w:t>overnance report</w:t>
      </w:r>
      <w:r w:rsidR="00130091">
        <w:t>s</w:t>
      </w:r>
      <w:r w:rsidR="003D2AC4">
        <w:t xml:space="preserve"> (“</w:t>
      </w:r>
      <w:r w:rsidR="003D2AC4" w:rsidRPr="003D2AC4">
        <w:rPr>
          <w:b/>
        </w:rPr>
        <w:t>ESG Report</w:t>
      </w:r>
      <w:r w:rsidR="00130091">
        <w:rPr>
          <w:b/>
        </w:rPr>
        <w:t>s</w:t>
      </w:r>
      <w:r w:rsidR="00922822">
        <w:t>”) under Appendices</w:t>
      </w:r>
      <w:r w:rsidR="003D2AC4">
        <w:t xml:space="preserve"> 27 </w:t>
      </w:r>
      <w:r w:rsidR="00922822">
        <w:t>and 20 to</w:t>
      </w:r>
      <w:r w:rsidR="003D2AC4">
        <w:t xml:space="preserve"> </w:t>
      </w:r>
      <w:r w:rsidR="00137835">
        <w:t>the M</w:t>
      </w:r>
      <w:r w:rsidR="00922822">
        <w:t xml:space="preserve">ain </w:t>
      </w:r>
      <w:r w:rsidR="00137835">
        <w:t>B</w:t>
      </w:r>
      <w:r w:rsidR="00922822">
        <w:t>oard and GEM</w:t>
      </w:r>
      <w:r w:rsidR="00137835">
        <w:t xml:space="preserve"> </w:t>
      </w:r>
      <w:r w:rsidR="00922822">
        <w:t xml:space="preserve">Listing </w:t>
      </w:r>
      <w:r w:rsidR="003D2AC4">
        <w:t>Rules</w:t>
      </w:r>
      <w:r w:rsidR="00922822">
        <w:t>, respectively</w:t>
      </w:r>
      <w:r w:rsidR="003D2AC4">
        <w:t>.</w:t>
      </w:r>
    </w:p>
    <w:p w14:paraId="420B7A71" w14:textId="77777777" w:rsidR="00691DEC" w:rsidRDefault="00691DEC" w:rsidP="00183DCC">
      <w:pPr>
        <w:spacing w:after="0"/>
        <w:jc w:val="both"/>
      </w:pPr>
    </w:p>
    <w:p w14:paraId="4D650C81" w14:textId="77777777" w:rsidR="00691DEC" w:rsidRPr="00691DEC" w:rsidRDefault="00691DEC" w:rsidP="00DD70B3">
      <w:pPr>
        <w:spacing w:after="0"/>
        <w:rPr>
          <w:b/>
        </w:rPr>
      </w:pPr>
      <w:r w:rsidRPr="00691DEC">
        <w:rPr>
          <w:b/>
        </w:rPr>
        <w:t>Board independence</w:t>
      </w:r>
    </w:p>
    <w:p w14:paraId="389D8755" w14:textId="77777777" w:rsidR="00237448" w:rsidRDefault="00237448" w:rsidP="00DD70B3">
      <w:pPr>
        <w:spacing w:after="0"/>
      </w:pPr>
    </w:p>
    <w:p w14:paraId="0E5D92E3" w14:textId="77777777" w:rsidR="00690FC5" w:rsidRDefault="00597661" w:rsidP="00597661">
      <w:pPr>
        <w:spacing w:after="0"/>
        <w:jc w:val="both"/>
      </w:pPr>
      <w:r>
        <w:t xml:space="preserve">New CP B.1.4 requires HKEX listed </w:t>
      </w:r>
      <w:r w:rsidR="00991659">
        <w:t xml:space="preserve">issuers </w:t>
      </w:r>
      <w:r>
        <w:t xml:space="preserve">to </w:t>
      </w:r>
      <w:r w:rsidR="00991659">
        <w:t>establish mechanism</w:t>
      </w:r>
      <w:r>
        <w:t>(s)</w:t>
      </w:r>
      <w:r w:rsidR="00991659">
        <w:t xml:space="preserve"> to ensure independent views and input are available to the board</w:t>
      </w:r>
      <w:r>
        <w:t xml:space="preserve"> and disclose them</w:t>
      </w:r>
      <w:r w:rsidR="00991659">
        <w:t xml:space="preserve"> in </w:t>
      </w:r>
      <w:r>
        <w:t>their Corporate Governance Reports</w:t>
      </w:r>
      <w:r w:rsidR="00991659">
        <w:t>.</w:t>
      </w:r>
      <w:r w:rsidR="00D50D1C" w:rsidRPr="00D50D1C">
        <w:t xml:space="preserve"> </w:t>
      </w:r>
      <w:r>
        <w:t xml:space="preserve">Listed company boards should also conduct an annual review of the </w:t>
      </w:r>
      <w:r w:rsidR="00D50D1C" w:rsidRPr="00D50D1C">
        <w:t>implemen</w:t>
      </w:r>
      <w:r w:rsidR="00D50D1C">
        <w:t xml:space="preserve">tation and effectiveness of </w:t>
      </w:r>
      <w:r>
        <w:t xml:space="preserve">these </w:t>
      </w:r>
      <w:r w:rsidR="00D50D1C">
        <w:t>mechanism</w:t>
      </w:r>
      <w:r>
        <w:t>s</w:t>
      </w:r>
      <w:r w:rsidR="00B5693F">
        <w:t>.</w:t>
      </w:r>
    </w:p>
    <w:p w14:paraId="36D8BB1F" w14:textId="77777777" w:rsidR="00690FC5" w:rsidRDefault="00690FC5" w:rsidP="0030033B">
      <w:pPr>
        <w:spacing w:after="0"/>
      </w:pPr>
    </w:p>
    <w:p w14:paraId="338F77FE" w14:textId="77777777" w:rsidR="00597661" w:rsidRDefault="009175A3" w:rsidP="0030033B">
      <w:pPr>
        <w:spacing w:after="0"/>
      </w:pPr>
      <w:r>
        <w:rPr>
          <w:b/>
        </w:rPr>
        <w:t>Long s</w:t>
      </w:r>
      <w:r w:rsidR="00597661" w:rsidRPr="00597661">
        <w:rPr>
          <w:b/>
        </w:rPr>
        <w:t>erving INEDs</w:t>
      </w:r>
      <w:r w:rsidR="00597661">
        <w:t xml:space="preserve"> </w:t>
      </w:r>
    </w:p>
    <w:p w14:paraId="21FB1C0C" w14:textId="77777777" w:rsidR="00597661" w:rsidRDefault="00597661" w:rsidP="0030033B">
      <w:pPr>
        <w:spacing w:after="0"/>
      </w:pPr>
    </w:p>
    <w:p w14:paraId="396FCADB" w14:textId="77777777" w:rsidR="0030033B" w:rsidRDefault="00912D6B" w:rsidP="0030033B">
      <w:pPr>
        <w:spacing w:after="0"/>
      </w:pPr>
      <w:r>
        <w:t>Wher</w:t>
      </w:r>
      <w:r w:rsidR="006829D5">
        <w:t xml:space="preserve">e </w:t>
      </w:r>
      <w:r>
        <w:t xml:space="preserve">all the </w:t>
      </w:r>
      <w:r w:rsidR="00825B10">
        <w:t>INED</w:t>
      </w:r>
      <w:r w:rsidR="006829D5">
        <w:t>s</w:t>
      </w:r>
      <w:r w:rsidR="0030033B">
        <w:t xml:space="preserve"> </w:t>
      </w:r>
      <w:r>
        <w:t xml:space="preserve">on an issuer’s board </w:t>
      </w:r>
      <w:r w:rsidR="006829D5">
        <w:t>have</w:t>
      </w:r>
      <w:r w:rsidR="000D3838">
        <w:t xml:space="preserve"> served more than nine years </w:t>
      </w:r>
      <w:r w:rsidR="006829D5">
        <w:t>(“</w:t>
      </w:r>
      <w:r w:rsidR="006829D5" w:rsidRPr="006829D5">
        <w:rPr>
          <w:b/>
        </w:rPr>
        <w:t>Long Serving INED</w:t>
      </w:r>
      <w:r w:rsidR="006829D5">
        <w:rPr>
          <w:b/>
        </w:rPr>
        <w:t>s</w:t>
      </w:r>
      <w:r w:rsidR="006829D5" w:rsidRPr="006829D5">
        <w:t>”</w:t>
      </w:r>
      <w:r w:rsidR="006829D5">
        <w:t>)</w:t>
      </w:r>
      <w:r>
        <w:t>, new CP B.2.4 requires that</w:t>
      </w:r>
      <w:r w:rsidR="0030033B">
        <w:t>:</w:t>
      </w:r>
    </w:p>
    <w:p w14:paraId="10C60CE0" w14:textId="77777777" w:rsidR="00912D6B" w:rsidRDefault="00912D6B" w:rsidP="00070E68">
      <w:pPr>
        <w:pStyle w:val="a7"/>
        <w:numPr>
          <w:ilvl w:val="0"/>
          <w:numId w:val="2"/>
        </w:numPr>
        <w:shd w:val="clear" w:color="auto" w:fill="FFFFFF"/>
        <w:spacing w:before="100" w:beforeAutospacing="1" w:after="100" w:afterAutospacing="1" w:line="240" w:lineRule="auto"/>
        <w:ind w:left="851" w:hanging="425"/>
        <w:jc w:val="both"/>
      </w:pPr>
      <w:r>
        <w:t>a new INED should be appointed at the issuer’s next annual general meeting (“</w:t>
      </w:r>
      <w:r w:rsidRPr="00912D6B">
        <w:rPr>
          <w:b/>
        </w:rPr>
        <w:t>AGM</w:t>
      </w:r>
      <w:r>
        <w:t>”)</w:t>
      </w:r>
      <w:r w:rsidR="00070E68">
        <w:t xml:space="preserve"> </w:t>
      </w:r>
      <w:r w:rsidR="00922822">
        <w:t>(</w:t>
      </w:r>
      <w:r w:rsidR="00070E68">
        <w:t xml:space="preserve">this requirement will take effect for financial years commencing on or after </w:t>
      </w:r>
      <w:r w:rsidR="00070E68" w:rsidRPr="00070E68">
        <w:rPr>
          <w:b/>
        </w:rPr>
        <w:t>1 January 2023</w:t>
      </w:r>
      <w:r w:rsidR="00922822" w:rsidRPr="00922822">
        <w:t>)</w:t>
      </w:r>
      <w:r w:rsidR="006829D5" w:rsidRPr="006829D5">
        <w:t>;</w:t>
      </w:r>
      <w:r>
        <w:t xml:space="preserve"> and</w:t>
      </w:r>
    </w:p>
    <w:p w14:paraId="18E8B4A2" w14:textId="77777777" w:rsidR="00070E68" w:rsidRDefault="00070E68" w:rsidP="00070E68">
      <w:pPr>
        <w:pStyle w:val="a7"/>
        <w:shd w:val="clear" w:color="auto" w:fill="FFFFFF"/>
        <w:spacing w:before="100" w:beforeAutospacing="1" w:after="100" w:afterAutospacing="1" w:line="240" w:lineRule="auto"/>
        <w:ind w:left="851"/>
      </w:pPr>
    </w:p>
    <w:p w14:paraId="32667ABA" w14:textId="77777777" w:rsidR="00912D6B" w:rsidRDefault="00912D6B" w:rsidP="00912D6B">
      <w:pPr>
        <w:pStyle w:val="a7"/>
        <w:numPr>
          <w:ilvl w:val="0"/>
          <w:numId w:val="2"/>
        </w:numPr>
        <w:shd w:val="clear" w:color="auto" w:fill="FFFFFF"/>
        <w:spacing w:before="100" w:beforeAutospacing="1" w:after="100" w:afterAutospacing="1" w:line="240" w:lineRule="auto"/>
        <w:ind w:left="851" w:hanging="425"/>
      </w:pPr>
      <w:r>
        <w:t xml:space="preserve">the shareholders’ circular and/or explanatory statement accompanying the notice of the AGM should disclose the length of tenure of each existing INED on a named basis. </w:t>
      </w:r>
    </w:p>
    <w:p w14:paraId="207EFD2D" w14:textId="77777777" w:rsidR="00070E68" w:rsidRDefault="00912D6B" w:rsidP="00070E68">
      <w:pPr>
        <w:shd w:val="clear" w:color="auto" w:fill="FFFFFF"/>
        <w:spacing w:before="100" w:beforeAutospacing="1" w:after="100" w:afterAutospacing="1" w:line="240" w:lineRule="auto"/>
        <w:jc w:val="both"/>
      </w:pPr>
      <w:r>
        <w:t>The HKEX did not adopt its proposal to require the re-election of Long Serving INEDs to be approved by issuers’ independent shareholders (</w:t>
      </w:r>
      <w:proofErr w:type="gramStart"/>
      <w:r>
        <w:t>i.e.</w:t>
      </w:r>
      <w:proofErr w:type="gramEnd"/>
      <w:r>
        <w:t xml:space="preserve"> shareholders other than controlling shareholders and their associates)</w:t>
      </w:r>
      <w:r w:rsidR="00070E68">
        <w:t xml:space="preserve">. Their </w:t>
      </w:r>
      <w:r w:rsidR="00922822">
        <w:t>re-</w:t>
      </w:r>
      <w:r w:rsidR="00070E68">
        <w:t xml:space="preserve">election remains subject to shareholders’ approval under C.P B.2.3. </w:t>
      </w:r>
      <w:r w:rsidR="009175A3">
        <w:t>However, revisions to C.P B.2.3 require that the papers to shareholders sent with the resolution for re-election of a Long Serving INED should include the factors considered, the process and discussion of the board or the nomination committee in reaching the determination that the board (or nomination committee) believes the director to still be independent and worthy of re-election.</w:t>
      </w:r>
    </w:p>
    <w:p w14:paraId="42C36563" w14:textId="77777777" w:rsidR="00174527" w:rsidRPr="009175A3" w:rsidRDefault="009175A3" w:rsidP="0030033B">
      <w:pPr>
        <w:spacing w:after="0"/>
        <w:rPr>
          <w:b/>
        </w:rPr>
      </w:pPr>
      <w:r>
        <w:rPr>
          <w:b/>
        </w:rPr>
        <w:t>Equity-based r</w:t>
      </w:r>
      <w:r w:rsidRPr="009175A3">
        <w:rPr>
          <w:b/>
        </w:rPr>
        <w:t>emuneration for INEDs</w:t>
      </w:r>
    </w:p>
    <w:p w14:paraId="5D157016" w14:textId="77777777" w:rsidR="009175A3" w:rsidRDefault="009175A3" w:rsidP="0030033B">
      <w:pPr>
        <w:spacing w:after="0"/>
      </w:pPr>
    </w:p>
    <w:p w14:paraId="1A79F621" w14:textId="77777777" w:rsidR="00174527" w:rsidRDefault="00787939" w:rsidP="00922822">
      <w:pPr>
        <w:spacing w:after="0"/>
        <w:jc w:val="both"/>
      </w:pPr>
      <w:r>
        <w:t xml:space="preserve">The HKEX </w:t>
      </w:r>
      <w:r w:rsidR="009175A3">
        <w:t xml:space="preserve">has </w:t>
      </w:r>
      <w:r>
        <w:t xml:space="preserve">introduced a new </w:t>
      </w:r>
      <w:r w:rsidR="00922822">
        <w:t xml:space="preserve">RBP </w:t>
      </w:r>
      <w:r>
        <w:t xml:space="preserve">E.1.9 that </w:t>
      </w:r>
      <w:r w:rsidRPr="00787939">
        <w:t>issuers should generally not grant equity-based remuneration with perfor</w:t>
      </w:r>
      <w:r>
        <w:t xml:space="preserve">mance-related elements to INEDs. </w:t>
      </w:r>
    </w:p>
    <w:p w14:paraId="53E4064F" w14:textId="77777777" w:rsidR="008F4F15" w:rsidRDefault="008F4F15" w:rsidP="0030033B">
      <w:pPr>
        <w:spacing w:after="0"/>
      </w:pPr>
    </w:p>
    <w:p w14:paraId="6DD2F8FC" w14:textId="77777777" w:rsidR="008F4F15" w:rsidRPr="008F4F15" w:rsidRDefault="008F4F15" w:rsidP="0030033B">
      <w:pPr>
        <w:spacing w:after="0"/>
        <w:rPr>
          <w:b/>
        </w:rPr>
      </w:pPr>
      <w:r w:rsidRPr="008F4F15">
        <w:rPr>
          <w:b/>
        </w:rPr>
        <w:t>Removal of specific</w:t>
      </w:r>
      <w:r>
        <w:rPr>
          <w:b/>
        </w:rPr>
        <w:t xml:space="preserve"> term of appointment for </w:t>
      </w:r>
      <w:r w:rsidRPr="008F4F15">
        <w:rPr>
          <w:b/>
        </w:rPr>
        <w:t>NEDs</w:t>
      </w:r>
    </w:p>
    <w:p w14:paraId="51A6D827" w14:textId="77777777" w:rsidR="004953C5" w:rsidRDefault="004953C5" w:rsidP="0030033B">
      <w:pPr>
        <w:spacing w:after="0"/>
      </w:pPr>
    </w:p>
    <w:p w14:paraId="08BF2CB5" w14:textId="77777777" w:rsidR="008F4F15" w:rsidRDefault="008F4F15" w:rsidP="008F4F15">
      <w:pPr>
        <w:spacing w:after="0"/>
        <w:jc w:val="both"/>
      </w:pPr>
      <w:r>
        <w:lastRenderedPageBreak/>
        <w:t>The CP previously requiring NEDs to be appointed for a specific term has been removed. The HKEX considers that its purpose, to allow shareholders to vote out a disapproved director, is already achieved by CP</w:t>
      </w:r>
      <w:r w:rsidR="00C72BCE">
        <w:t xml:space="preserve"> B.2.2</w:t>
      </w:r>
      <w:r>
        <w:t xml:space="preserve"> requiring directors</w:t>
      </w:r>
      <w:r w:rsidR="00C72BCE">
        <w:t xml:space="preserve"> to retire</w:t>
      </w:r>
      <w:r>
        <w:t xml:space="preserve"> </w:t>
      </w:r>
      <w:r w:rsidR="00C72BCE">
        <w:t>by rotation once every three years.</w:t>
      </w:r>
    </w:p>
    <w:p w14:paraId="2922DBBF" w14:textId="77777777" w:rsidR="00C72BCE" w:rsidRDefault="00C72BCE" w:rsidP="008F4F15">
      <w:pPr>
        <w:spacing w:after="0"/>
        <w:jc w:val="both"/>
      </w:pPr>
    </w:p>
    <w:p w14:paraId="3954E682" w14:textId="77777777" w:rsidR="004953C5" w:rsidRDefault="008922EB" w:rsidP="0030033B">
      <w:pPr>
        <w:spacing w:after="0"/>
        <w:rPr>
          <w:b/>
        </w:rPr>
      </w:pPr>
      <w:r w:rsidRPr="008922EB">
        <w:rPr>
          <w:b/>
        </w:rPr>
        <w:t>Board diversity</w:t>
      </w:r>
      <w:r w:rsidR="00E27CE3">
        <w:rPr>
          <w:b/>
        </w:rPr>
        <w:t xml:space="preserve"> – bar on single gender boards</w:t>
      </w:r>
    </w:p>
    <w:p w14:paraId="091BE4F1" w14:textId="77777777" w:rsidR="002E6879" w:rsidRDefault="002E6879" w:rsidP="009A328C">
      <w:pPr>
        <w:spacing w:after="0"/>
        <w:rPr>
          <w:b/>
        </w:rPr>
      </w:pPr>
    </w:p>
    <w:p w14:paraId="0E2AB19E" w14:textId="77777777" w:rsidR="002E6879" w:rsidRDefault="009175A3" w:rsidP="00E27CE3">
      <w:pPr>
        <w:spacing w:after="0"/>
        <w:jc w:val="both"/>
      </w:pPr>
      <w:r>
        <w:t xml:space="preserve">Revised </w:t>
      </w:r>
      <w:r w:rsidR="00137835">
        <w:t>M</w:t>
      </w:r>
      <w:r>
        <w:t xml:space="preserve">ain </w:t>
      </w:r>
      <w:r w:rsidR="00137835">
        <w:t>B</w:t>
      </w:r>
      <w:r>
        <w:t>oard Listing Rule</w:t>
      </w:r>
      <w:r w:rsidR="00137835">
        <w:t xml:space="preserve"> 13.92</w:t>
      </w:r>
      <w:r>
        <w:t xml:space="preserve"> (GEM Listing Rule 17.104) states that while board diversity can be achieved through a number of factors which include (without limitation) gender, age, professional experience </w:t>
      </w:r>
      <w:r w:rsidR="00E27CE3">
        <w:t>and cultural and educational background,</w:t>
      </w:r>
      <w:r>
        <w:t xml:space="preserve"> </w:t>
      </w:r>
      <w:r w:rsidR="00137835">
        <w:t>the HKEX will not consider a single gend</w:t>
      </w:r>
      <w:r w:rsidR="00E27CE3">
        <w:t>er board to have</w:t>
      </w:r>
      <w:r w:rsidR="00137835">
        <w:t xml:space="preserve"> achieve</w:t>
      </w:r>
      <w:r w:rsidR="00E27CE3">
        <w:t>d</w:t>
      </w:r>
      <w:r w:rsidR="00137835">
        <w:t xml:space="preserve"> diversity. </w:t>
      </w:r>
      <w:r w:rsidR="00E27CE3">
        <w:t xml:space="preserve">Existing listed issuers with </w:t>
      </w:r>
      <w:r w:rsidR="003E5607">
        <w:t>single gender board</w:t>
      </w:r>
      <w:r w:rsidR="00E27CE3">
        <w:t>s</w:t>
      </w:r>
      <w:r w:rsidR="003E5607">
        <w:t xml:space="preserve"> have </w:t>
      </w:r>
      <w:r w:rsidR="00E27CE3">
        <w:t>until 31 December 2024 to appoint at least one</w:t>
      </w:r>
      <w:r w:rsidR="003E5607">
        <w:t xml:space="preserve"> director of </w:t>
      </w:r>
      <w:r w:rsidR="00E27CE3">
        <w:t>a different gender</w:t>
      </w:r>
      <w:r w:rsidR="003E5607">
        <w:t xml:space="preserve">. </w:t>
      </w:r>
      <w:r w:rsidR="00137835">
        <w:t xml:space="preserve"> </w:t>
      </w:r>
    </w:p>
    <w:p w14:paraId="16ECB97E" w14:textId="77777777" w:rsidR="00125262" w:rsidRDefault="00125262" w:rsidP="00E27CE3">
      <w:pPr>
        <w:spacing w:after="0"/>
        <w:jc w:val="both"/>
      </w:pPr>
    </w:p>
    <w:p w14:paraId="1294C801" w14:textId="77777777" w:rsidR="00125262" w:rsidRPr="00125262" w:rsidRDefault="00125262" w:rsidP="00E27CE3">
      <w:pPr>
        <w:spacing w:after="0"/>
        <w:jc w:val="both"/>
        <w:rPr>
          <w:b/>
        </w:rPr>
      </w:pPr>
      <w:r w:rsidRPr="00125262">
        <w:rPr>
          <w:b/>
        </w:rPr>
        <w:t>Gender diversity for HKEX IPO applicants</w:t>
      </w:r>
    </w:p>
    <w:p w14:paraId="70C98ECD" w14:textId="77777777" w:rsidR="00157DD4" w:rsidRDefault="00157DD4" w:rsidP="009A328C">
      <w:pPr>
        <w:spacing w:after="0"/>
      </w:pPr>
    </w:p>
    <w:p w14:paraId="132111C0" w14:textId="77777777" w:rsidR="00A76B4C" w:rsidRDefault="00A76B4C" w:rsidP="00A76B4C">
      <w:pPr>
        <w:spacing w:after="0"/>
        <w:jc w:val="both"/>
      </w:pPr>
      <w:r>
        <w:t xml:space="preserve">Companies applying to list on the HKEX on or after 1 July 2022 will need to identify at least one director of a different gender whose appointment will be effective on listing. </w:t>
      </w:r>
    </w:p>
    <w:p w14:paraId="40E5C8D8" w14:textId="77777777" w:rsidR="002417D2" w:rsidRDefault="002417D2" w:rsidP="009A328C">
      <w:pPr>
        <w:spacing w:after="0"/>
      </w:pPr>
    </w:p>
    <w:p w14:paraId="51592096" w14:textId="77777777" w:rsidR="00A76B4C" w:rsidRDefault="00A76B4C" w:rsidP="00A76B4C">
      <w:pPr>
        <w:spacing w:after="0"/>
        <w:jc w:val="both"/>
      </w:pPr>
      <w:r>
        <w:t xml:space="preserve">The Declaration and Undertaking with regard to Directors (Forms B and H for Main Board listing applicants and Forms A and B for GEM listing applicants) has been revised to require directors to specify their gender. Issuers with single gender boards who committed in their listing documents to implement gender diversity are expected to appoint a director of a different gender. </w:t>
      </w:r>
    </w:p>
    <w:p w14:paraId="7F6FA4D2" w14:textId="77777777" w:rsidR="00125262" w:rsidRDefault="00125262" w:rsidP="009A328C">
      <w:pPr>
        <w:spacing w:after="0"/>
      </w:pPr>
    </w:p>
    <w:p w14:paraId="7912FDF4" w14:textId="77777777" w:rsidR="00E27CE3" w:rsidRDefault="001B33F3" w:rsidP="009A328C">
      <w:pPr>
        <w:spacing w:after="0"/>
        <w:rPr>
          <w:b/>
        </w:rPr>
      </w:pPr>
      <w:r>
        <w:rPr>
          <w:b/>
        </w:rPr>
        <w:t>HKEX Corporate Governance Code d</w:t>
      </w:r>
      <w:r w:rsidR="00125262">
        <w:rPr>
          <w:b/>
        </w:rPr>
        <w:t>isclosure</w:t>
      </w:r>
      <w:r>
        <w:rPr>
          <w:b/>
        </w:rPr>
        <w:t xml:space="preserve"> of</w:t>
      </w:r>
      <w:r w:rsidR="00E27CE3" w:rsidRPr="00E27CE3">
        <w:rPr>
          <w:b/>
        </w:rPr>
        <w:t xml:space="preserve"> </w:t>
      </w:r>
      <w:r w:rsidR="00125262">
        <w:rPr>
          <w:b/>
        </w:rPr>
        <w:t>gender</w:t>
      </w:r>
      <w:r w:rsidR="00E27CE3" w:rsidRPr="00E27CE3">
        <w:rPr>
          <w:b/>
        </w:rPr>
        <w:t xml:space="preserve"> diversity targets and timelines</w:t>
      </w:r>
    </w:p>
    <w:p w14:paraId="68A5689B" w14:textId="77777777" w:rsidR="00125262" w:rsidRPr="00E27CE3" w:rsidRDefault="00125262" w:rsidP="009A328C">
      <w:pPr>
        <w:spacing w:after="0"/>
        <w:rPr>
          <w:b/>
        </w:rPr>
      </w:pPr>
    </w:p>
    <w:p w14:paraId="2CAB02F6" w14:textId="77777777" w:rsidR="00125262" w:rsidRDefault="00FE42F7" w:rsidP="00125262">
      <w:pPr>
        <w:spacing w:after="0"/>
        <w:jc w:val="both"/>
      </w:pPr>
      <w:r>
        <w:t>Under new paragraph J of the</w:t>
      </w:r>
      <w:r w:rsidR="00F60AC1">
        <w:t xml:space="preserve"> mandatory disclosure requirements</w:t>
      </w:r>
      <w:r>
        <w:t xml:space="preserve">, </w:t>
      </w:r>
      <w:r w:rsidRPr="00FE42F7">
        <w:t xml:space="preserve">issuers must disclose </w:t>
      </w:r>
      <w:r w:rsidR="00125262">
        <w:t>in their Corporate Governance Reports:</w:t>
      </w:r>
    </w:p>
    <w:p w14:paraId="379D6C7D" w14:textId="77777777" w:rsidR="00125262" w:rsidRDefault="00125262" w:rsidP="009A328C">
      <w:pPr>
        <w:spacing w:after="0"/>
      </w:pPr>
    </w:p>
    <w:p w14:paraId="2D57B813" w14:textId="77777777" w:rsidR="00125262" w:rsidRDefault="00FE42F7" w:rsidP="00125262">
      <w:pPr>
        <w:pStyle w:val="a7"/>
        <w:numPr>
          <w:ilvl w:val="0"/>
          <w:numId w:val="3"/>
        </w:numPr>
        <w:spacing w:after="0"/>
        <w:jc w:val="both"/>
      </w:pPr>
      <w:r w:rsidRPr="00FE42F7">
        <w:t xml:space="preserve">how and when gender diversity will be </w:t>
      </w:r>
      <w:proofErr w:type="spellStart"/>
      <w:r w:rsidRPr="00FE42F7">
        <w:t>realised</w:t>
      </w:r>
      <w:proofErr w:type="spellEnd"/>
      <w:r w:rsidRPr="00FE42F7">
        <w:t xml:space="preserve"> </w:t>
      </w:r>
      <w:r w:rsidR="00125262">
        <w:t xml:space="preserve">on their </w:t>
      </w:r>
      <w:r w:rsidRPr="00FE42F7">
        <w:t>board</w:t>
      </w:r>
      <w:r w:rsidR="00125262">
        <w:t xml:space="preserve"> of directors;</w:t>
      </w:r>
    </w:p>
    <w:p w14:paraId="193D8161" w14:textId="77777777" w:rsidR="00125262" w:rsidRDefault="00125262" w:rsidP="00125262">
      <w:pPr>
        <w:pStyle w:val="a7"/>
        <w:spacing w:after="0"/>
        <w:ind w:left="767"/>
        <w:jc w:val="both"/>
      </w:pPr>
    </w:p>
    <w:p w14:paraId="67991CDC" w14:textId="77777777" w:rsidR="00125262" w:rsidRDefault="00FE42F7" w:rsidP="00125262">
      <w:pPr>
        <w:pStyle w:val="a7"/>
        <w:numPr>
          <w:ilvl w:val="0"/>
          <w:numId w:val="3"/>
        </w:numPr>
        <w:spacing w:after="0"/>
        <w:jc w:val="both"/>
      </w:pPr>
      <w:r w:rsidRPr="00FE42F7">
        <w:t xml:space="preserve">the numerical targets and timelines for attaining gender diversity </w:t>
      </w:r>
      <w:r w:rsidR="00125262">
        <w:t>on their</w:t>
      </w:r>
      <w:r>
        <w:t xml:space="preserve"> board</w:t>
      </w:r>
      <w:r w:rsidR="00125262">
        <w:t>;</w:t>
      </w:r>
      <w:r>
        <w:t xml:space="preserve"> </w:t>
      </w:r>
    </w:p>
    <w:p w14:paraId="77F50DB8" w14:textId="77777777" w:rsidR="00125262" w:rsidRDefault="00125262" w:rsidP="00125262">
      <w:pPr>
        <w:pStyle w:val="a7"/>
        <w:spacing w:after="0"/>
        <w:ind w:left="767"/>
        <w:jc w:val="both"/>
      </w:pPr>
    </w:p>
    <w:p w14:paraId="0F1C37F8" w14:textId="77777777" w:rsidR="00157DD4" w:rsidRDefault="00FE42F7" w:rsidP="00125262">
      <w:pPr>
        <w:pStyle w:val="a7"/>
        <w:numPr>
          <w:ilvl w:val="0"/>
          <w:numId w:val="3"/>
        </w:numPr>
        <w:spacing w:after="0"/>
        <w:jc w:val="both"/>
      </w:pPr>
      <w:r w:rsidRPr="00FE42F7">
        <w:t xml:space="preserve">the measures adopted to develop a pipeline of potential successors </w:t>
      </w:r>
      <w:r>
        <w:t>to the board to achieve gender diversity</w:t>
      </w:r>
      <w:r w:rsidR="00125262">
        <w:t>; and</w:t>
      </w:r>
    </w:p>
    <w:p w14:paraId="489BDCC4" w14:textId="77777777" w:rsidR="00125262" w:rsidRDefault="00125262" w:rsidP="00125262">
      <w:pPr>
        <w:pStyle w:val="a7"/>
      </w:pPr>
    </w:p>
    <w:p w14:paraId="1E712379" w14:textId="77777777" w:rsidR="00125262" w:rsidRDefault="00125262" w:rsidP="00125262">
      <w:pPr>
        <w:pStyle w:val="a7"/>
        <w:numPr>
          <w:ilvl w:val="0"/>
          <w:numId w:val="3"/>
        </w:numPr>
        <w:spacing w:after="0"/>
        <w:jc w:val="both"/>
      </w:pPr>
      <w:r>
        <w:t xml:space="preserve">the gender ratio in the workforce (including senior management), any plans or </w:t>
      </w:r>
      <w:proofErr w:type="spellStart"/>
      <w:r>
        <w:t>measureable</w:t>
      </w:r>
      <w:proofErr w:type="spellEnd"/>
      <w:r>
        <w:t xml:space="preserve"> objectives for achieving gender diversity and any mitigating factors or circumstances which make achieving gender diversity across the workforce more challenging or less relevant.</w:t>
      </w:r>
      <w:r w:rsidR="002417D2">
        <w:t xml:space="preserve"> Senior management has the same meaning as in Appendix 16 to the Main Board Listing Rules</w:t>
      </w:r>
      <w:r w:rsidR="00051679">
        <w:t xml:space="preserve"> (GEM Listing Rule 18.39)</w:t>
      </w:r>
      <w:r w:rsidR="002417D2">
        <w:t xml:space="preserve"> and may include directors of subsidiaries, supervisors of subsidiaries of PRC-incorporated issuers, heads of divisions, departments or other operating units within the group, as the issuer’s board considers appropriate.</w:t>
      </w:r>
      <w:r w:rsidR="002417D2">
        <w:rPr>
          <w:rStyle w:val="a5"/>
        </w:rPr>
        <w:footnoteReference w:id="3"/>
      </w:r>
    </w:p>
    <w:p w14:paraId="756A8B61" w14:textId="77777777" w:rsidR="00FE42F7" w:rsidRDefault="00FE42F7" w:rsidP="009A328C">
      <w:pPr>
        <w:spacing w:after="0"/>
      </w:pPr>
    </w:p>
    <w:p w14:paraId="137211CF" w14:textId="77777777" w:rsidR="00E27CE3" w:rsidRDefault="002417D2" w:rsidP="009A328C">
      <w:pPr>
        <w:spacing w:after="0"/>
        <w:rPr>
          <w:b/>
        </w:rPr>
      </w:pPr>
      <w:r>
        <w:rPr>
          <w:b/>
        </w:rPr>
        <w:lastRenderedPageBreak/>
        <w:t>Listed issuers’ a</w:t>
      </w:r>
      <w:r w:rsidR="00E27CE3" w:rsidRPr="00E27CE3">
        <w:rPr>
          <w:b/>
        </w:rPr>
        <w:t>nnual review of board diversity</w:t>
      </w:r>
    </w:p>
    <w:p w14:paraId="1A21F88F" w14:textId="77777777" w:rsidR="002417D2" w:rsidRPr="00E27CE3" w:rsidRDefault="002417D2" w:rsidP="009A328C">
      <w:pPr>
        <w:spacing w:after="0"/>
        <w:rPr>
          <w:b/>
        </w:rPr>
      </w:pPr>
    </w:p>
    <w:p w14:paraId="24494EEE" w14:textId="77777777" w:rsidR="00690FC5" w:rsidRDefault="002417D2" w:rsidP="002417D2">
      <w:pPr>
        <w:spacing w:after="0"/>
        <w:jc w:val="both"/>
      </w:pPr>
      <w:r>
        <w:t>N</w:t>
      </w:r>
      <w:r w:rsidR="00FE42F7">
        <w:t xml:space="preserve">ew CP B.1.3 </w:t>
      </w:r>
      <w:r>
        <w:t xml:space="preserve">requires </w:t>
      </w:r>
      <w:r w:rsidR="00FE42F7">
        <w:t xml:space="preserve">that the implementation and effectiveness of the issuer’s policy on board diversity </w:t>
      </w:r>
      <w:r w:rsidR="00FE42F7" w:rsidRPr="00D50D1C">
        <w:t>should be</w:t>
      </w:r>
      <w:r w:rsidR="00FE42F7">
        <w:t xml:space="preserve"> reviewed annually by the board.</w:t>
      </w:r>
      <w:r w:rsidR="00E9364B">
        <w:t xml:space="preserve"> </w:t>
      </w:r>
    </w:p>
    <w:p w14:paraId="2B65D728" w14:textId="77777777" w:rsidR="00E9364B" w:rsidRDefault="00E9364B" w:rsidP="009A328C">
      <w:pPr>
        <w:spacing w:after="0"/>
      </w:pPr>
    </w:p>
    <w:p w14:paraId="7CFBD313" w14:textId="77777777" w:rsidR="00565E94" w:rsidRPr="00565E94" w:rsidRDefault="001B33F3" w:rsidP="009A328C">
      <w:pPr>
        <w:spacing w:after="0"/>
        <w:rPr>
          <w:b/>
        </w:rPr>
      </w:pPr>
      <w:r>
        <w:rPr>
          <w:b/>
        </w:rPr>
        <w:t xml:space="preserve">Mandatory </w:t>
      </w:r>
      <w:r w:rsidR="00565E94" w:rsidRPr="00565E94">
        <w:rPr>
          <w:b/>
        </w:rPr>
        <w:t xml:space="preserve">Nomination Committee </w:t>
      </w:r>
    </w:p>
    <w:p w14:paraId="63DD6CEC" w14:textId="77777777" w:rsidR="00565E94" w:rsidRDefault="00565E94" w:rsidP="009A328C">
      <w:pPr>
        <w:spacing w:after="0"/>
      </w:pPr>
    </w:p>
    <w:p w14:paraId="40A87EAA" w14:textId="77777777" w:rsidR="00565E94" w:rsidRDefault="001B33F3" w:rsidP="001B33F3">
      <w:pPr>
        <w:spacing w:after="0"/>
        <w:jc w:val="both"/>
      </w:pPr>
      <w:r>
        <w:t xml:space="preserve">The requirement for HKEX listed issuers to have a nomination committee chaired by an INED or the chairman of the board and comprising a majority of INEDs has been upgraded from a Code Provision to a Listing Rule - </w:t>
      </w:r>
      <w:r w:rsidR="00AB3B45">
        <w:t>new M</w:t>
      </w:r>
      <w:r>
        <w:t xml:space="preserve">ain </w:t>
      </w:r>
      <w:r w:rsidR="00AB3B45">
        <w:t>B</w:t>
      </w:r>
      <w:r>
        <w:t>oard</w:t>
      </w:r>
      <w:r w:rsidR="00AB3B45">
        <w:t xml:space="preserve"> </w:t>
      </w:r>
      <w:r>
        <w:t xml:space="preserve">Listing </w:t>
      </w:r>
      <w:r w:rsidR="00AB3B45">
        <w:t>Rule 3.27A</w:t>
      </w:r>
      <w:r>
        <w:t xml:space="preserve"> and GEM Listing Rule 5.36A</w:t>
      </w:r>
      <w:r w:rsidR="008B3F59">
        <w:t xml:space="preserve">. </w:t>
      </w:r>
    </w:p>
    <w:p w14:paraId="1B100CF0" w14:textId="77777777" w:rsidR="009D4148" w:rsidRDefault="009D4148" w:rsidP="001B33F3">
      <w:pPr>
        <w:spacing w:after="0"/>
        <w:jc w:val="both"/>
      </w:pPr>
    </w:p>
    <w:p w14:paraId="51CD0A1C" w14:textId="77777777" w:rsidR="009D4148" w:rsidRDefault="009D4148" w:rsidP="001B33F3">
      <w:pPr>
        <w:spacing w:after="0"/>
        <w:jc w:val="both"/>
      </w:pPr>
      <w:r>
        <w:t>The HKEX did not adopt the proposal that only an INED should be allowed to chair the nomination committee and retained the flexibility for nomination committees to be chaired by the chairman of the board.</w:t>
      </w:r>
    </w:p>
    <w:p w14:paraId="4209B37B" w14:textId="77777777" w:rsidR="00AB3B45" w:rsidRDefault="00AB3B45" w:rsidP="009A328C">
      <w:pPr>
        <w:spacing w:after="0"/>
      </w:pPr>
    </w:p>
    <w:p w14:paraId="09375153" w14:textId="77777777" w:rsidR="00AB3B45" w:rsidRPr="00AB3B45" w:rsidRDefault="00AB3B45" w:rsidP="009A328C">
      <w:pPr>
        <w:spacing w:after="0"/>
        <w:rPr>
          <w:b/>
        </w:rPr>
      </w:pPr>
      <w:r w:rsidRPr="00AB3B45">
        <w:rPr>
          <w:b/>
        </w:rPr>
        <w:t>Communications with shareholders</w:t>
      </w:r>
    </w:p>
    <w:p w14:paraId="2A379640" w14:textId="77777777" w:rsidR="00AB3B45" w:rsidRDefault="00AB3B45" w:rsidP="009A328C">
      <w:pPr>
        <w:spacing w:after="0"/>
      </w:pPr>
    </w:p>
    <w:p w14:paraId="318BD876" w14:textId="77777777" w:rsidR="00BD3B08" w:rsidRDefault="009D4148" w:rsidP="009D4148">
      <w:pPr>
        <w:spacing w:after="0"/>
        <w:jc w:val="both"/>
      </w:pPr>
      <w:r>
        <w:t>N</w:t>
      </w:r>
      <w:r w:rsidR="00AF7FBD">
        <w:t>ew paragraph L of the M</w:t>
      </w:r>
      <w:r w:rsidR="00051679">
        <w:t xml:space="preserve">andatory </w:t>
      </w:r>
      <w:r w:rsidR="00AF7FBD">
        <w:t>D</w:t>
      </w:r>
      <w:r w:rsidR="00051679">
        <w:t xml:space="preserve">isclosure </w:t>
      </w:r>
      <w:r w:rsidR="00AF7FBD">
        <w:t>R</w:t>
      </w:r>
      <w:r w:rsidR="00051679">
        <w:t>equirements</w:t>
      </w:r>
      <w:r>
        <w:t xml:space="preserve"> has upgraded to a mandatory disclosure the requirement for issuers to disclose in their Corporate Governance Reports their</w:t>
      </w:r>
      <w:r w:rsidR="00BD3B08">
        <w:t xml:space="preserve"> shareholders’ communication </w:t>
      </w:r>
      <w:r w:rsidR="00BD3B08" w:rsidRPr="00BD3B08">
        <w:t xml:space="preserve">policy (or its summary) and a statement </w:t>
      </w:r>
      <w:r>
        <w:t>that they have</w:t>
      </w:r>
      <w:r w:rsidR="00BD3B08" w:rsidRPr="00BD3B08">
        <w:t xml:space="preserve"> reviewed its implementation and effectiveness </w:t>
      </w:r>
      <w:r>
        <w:t>during the year (including how they</w:t>
      </w:r>
      <w:r w:rsidR="00BD3B08">
        <w:t xml:space="preserve"> ar</w:t>
      </w:r>
      <w:r>
        <w:t>rived</w:t>
      </w:r>
      <w:r w:rsidR="00BD3B08">
        <w:t xml:space="preserve"> at the conclusion).</w:t>
      </w:r>
    </w:p>
    <w:p w14:paraId="5CFBFE15" w14:textId="77777777" w:rsidR="008B3F59" w:rsidRDefault="008B3F59" w:rsidP="009A328C">
      <w:pPr>
        <w:spacing w:after="0"/>
      </w:pPr>
    </w:p>
    <w:p w14:paraId="4A4F55F4" w14:textId="77777777" w:rsidR="008B3F59" w:rsidRPr="00AE4590" w:rsidRDefault="009D4148" w:rsidP="009A328C">
      <w:pPr>
        <w:spacing w:after="0"/>
        <w:rPr>
          <w:b/>
        </w:rPr>
      </w:pPr>
      <w:r>
        <w:rPr>
          <w:b/>
        </w:rPr>
        <w:t>Disclosure of directors’ attendance at general meeting</w:t>
      </w:r>
      <w:r w:rsidR="00AE4590" w:rsidRPr="00AE4590">
        <w:rPr>
          <w:b/>
        </w:rPr>
        <w:t>s</w:t>
      </w:r>
    </w:p>
    <w:p w14:paraId="60A141D0" w14:textId="77777777" w:rsidR="00690FC5" w:rsidRDefault="00690FC5" w:rsidP="009A328C">
      <w:pPr>
        <w:spacing w:after="0"/>
      </w:pPr>
    </w:p>
    <w:p w14:paraId="2566B00A" w14:textId="77777777" w:rsidR="00AF3EF7" w:rsidRDefault="009D4148" w:rsidP="00C72BCE">
      <w:pPr>
        <w:spacing w:after="0"/>
        <w:jc w:val="both"/>
      </w:pPr>
      <w:r>
        <w:t>N</w:t>
      </w:r>
      <w:r w:rsidR="00F629D5">
        <w:t>ew M</w:t>
      </w:r>
      <w:r>
        <w:t xml:space="preserve">ain </w:t>
      </w:r>
      <w:r w:rsidR="00F629D5">
        <w:t>B</w:t>
      </w:r>
      <w:r>
        <w:t>oard Listing</w:t>
      </w:r>
      <w:r w:rsidR="00F629D5">
        <w:t xml:space="preserve"> Rule 13.39(5A)</w:t>
      </w:r>
      <w:r>
        <w:t xml:space="preserve"> (GEM Listing Rule 17.47(5A))</w:t>
      </w:r>
      <w:r w:rsidR="00F629D5">
        <w:t xml:space="preserve"> </w:t>
      </w:r>
      <w:r w:rsidR="00F629D5" w:rsidRPr="00F629D5">
        <w:t xml:space="preserve">requires </w:t>
      </w:r>
      <w:r>
        <w:t>listed issuers to disclos</w:t>
      </w:r>
      <w:r w:rsidR="00F629D5" w:rsidRPr="00F629D5">
        <w:t>e directors’ attendance at a general meeting in the poll results announcement</w:t>
      </w:r>
      <w:r w:rsidR="00F629D5">
        <w:t>.</w:t>
      </w:r>
    </w:p>
    <w:p w14:paraId="6F7C438D" w14:textId="77777777" w:rsidR="00F629D5" w:rsidRDefault="00F629D5" w:rsidP="00C72BCE">
      <w:pPr>
        <w:spacing w:after="0"/>
        <w:jc w:val="both"/>
      </w:pPr>
    </w:p>
    <w:p w14:paraId="0D3862D9" w14:textId="77777777" w:rsidR="009A328C" w:rsidRDefault="00FC195D" w:rsidP="00C72BCE">
      <w:pPr>
        <w:spacing w:after="0"/>
        <w:jc w:val="both"/>
        <w:rPr>
          <w:b/>
        </w:rPr>
      </w:pPr>
      <w:r w:rsidRPr="00FC195D">
        <w:rPr>
          <w:b/>
        </w:rPr>
        <w:t>ESG Report</w:t>
      </w:r>
      <w:r w:rsidR="00C72BCE">
        <w:rPr>
          <w:b/>
        </w:rPr>
        <w:t xml:space="preserve"> publication </w:t>
      </w:r>
    </w:p>
    <w:p w14:paraId="4734E497" w14:textId="77777777" w:rsidR="00C4326B" w:rsidRDefault="00C4326B" w:rsidP="00C72BCE">
      <w:pPr>
        <w:spacing w:after="0"/>
        <w:jc w:val="both"/>
        <w:rPr>
          <w:b/>
        </w:rPr>
      </w:pPr>
    </w:p>
    <w:p w14:paraId="533252D1" w14:textId="471858BC" w:rsidR="00FC195D" w:rsidRDefault="00C72BCE" w:rsidP="00C72BCE">
      <w:pPr>
        <w:spacing w:after="0"/>
        <w:jc w:val="both"/>
      </w:pPr>
      <w:r>
        <w:t>R</w:t>
      </w:r>
      <w:r w:rsidR="00C4326B">
        <w:t>evised M</w:t>
      </w:r>
      <w:r>
        <w:t xml:space="preserve">ain </w:t>
      </w:r>
      <w:r w:rsidR="00C4326B">
        <w:t>B</w:t>
      </w:r>
      <w:r>
        <w:t>oard Listing</w:t>
      </w:r>
      <w:r w:rsidR="00C4326B">
        <w:t xml:space="preserve"> Rule 13.91</w:t>
      </w:r>
      <w:r>
        <w:t xml:space="preserve"> (GEM Listing Rule 17.103(5)(d)) requires listed</w:t>
      </w:r>
      <w:r w:rsidR="00C4326B" w:rsidRPr="00C4326B">
        <w:t xml:space="preserve"> </w:t>
      </w:r>
      <w:r w:rsidR="00C4326B">
        <w:t>i</w:t>
      </w:r>
      <w:r w:rsidR="00C4326B" w:rsidRPr="00C4326B">
        <w:t>ssuers</w:t>
      </w:r>
      <w:r w:rsidR="00C4326B">
        <w:t xml:space="preserve"> </w:t>
      </w:r>
      <w:r>
        <w:t xml:space="preserve">to </w:t>
      </w:r>
      <w:proofErr w:type="gramStart"/>
      <w:r w:rsidR="00C4326B">
        <w:t xml:space="preserve">publish </w:t>
      </w:r>
      <w:r>
        <w:t xml:space="preserve"> </w:t>
      </w:r>
      <w:r w:rsidR="00C4326B">
        <w:t>ESG</w:t>
      </w:r>
      <w:proofErr w:type="gramEnd"/>
      <w:r w:rsidR="00C4326B">
        <w:t xml:space="preserve"> Report</w:t>
      </w:r>
      <w:r>
        <w:t>s</w:t>
      </w:r>
      <w:r w:rsidR="00C4326B">
        <w:t xml:space="preserve"> at the same time as publication of the</w:t>
      </w:r>
      <w:r>
        <w:t>ir</w:t>
      </w:r>
      <w:r w:rsidR="00C4326B">
        <w:t xml:space="preserve"> annual report</w:t>
      </w:r>
      <w:r>
        <w:t>s</w:t>
      </w:r>
      <w:r w:rsidR="00C4326B">
        <w:t>.</w:t>
      </w:r>
      <w:r>
        <w:t xml:space="preserve"> The requirement takes effect for financial years commencing on or after 1 January 2022.</w:t>
      </w:r>
      <w:r w:rsidR="00C4326B">
        <w:t xml:space="preserve"> </w:t>
      </w:r>
    </w:p>
    <w:p w14:paraId="0352A0C9" w14:textId="13EEF99E" w:rsidR="00221724" w:rsidRDefault="00221724" w:rsidP="00C72BCE">
      <w:pPr>
        <w:spacing w:after="0"/>
        <w:jc w:val="both"/>
      </w:pPr>
    </w:p>
    <w:p w14:paraId="395B1835" w14:textId="77777777" w:rsidR="00221724" w:rsidRPr="00F05494" w:rsidRDefault="00221724" w:rsidP="00221724">
      <w:pPr>
        <w:pStyle w:val="DisclaimerBold"/>
        <w:rPr>
          <w:rFonts w:ascii="Helvetica" w:hAnsi="Helvetica"/>
        </w:rPr>
      </w:pPr>
      <w:r w:rsidRPr="00F05494">
        <w:rPr>
          <w:rFonts w:ascii="Helvetica" w:hAnsi="Helvetica"/>
        </w:rPr>
        <w:t>This newsletter is for information purposes only.</w:t>
      </w:r>
    </w:p>
    <w:p w14:paraId="76BC6BA3" w14:textId="77777777" w:rsidR="00221724" w:rsidRPr="00F05494" w:rsidRDefault="00221724" w:rsidP="00221724">
      <w:pPr>
        <w:pStyle w:val="Disclaimer"/>
        <w:rPr>
          <w:rFonts w:ascii="Helvetica" w:hAnsi="Helvetica"/>
        </w:rPr>
      </w:pPr>
      <w:r w:rsidRPr="00F05494">
        <w:rPr>
          <w:rFonts w:ascii="Helvetica" w:hAnsi="Helvetica"/>
        </w:rPr>
        <w:t xml:space="preserve">Its contents do not constitute legal advice and it </w:t>
      </w:r>
      <w:proofErr w:type="gramStart"/>
      <w:r w:rsidRPr="00F05494">
        <w:rPr>
          <w:rFonts w:ascii="Helvetica" w:hAnsi="Helvetica"/>
        </w:rPr>
        <w:t>should  not</w:t>
      </w:r>
      <w:proofErr w:type="gramEnd"/>
      <w:r w:rsidRPr="00F05494">
        <w:rPr>
          <w:rFonts w:ascii="Helvetica" w:hAnsi="Helvetica"/>
        </w:rPr>
        <w:t xml:space="preserve"> be regarded as a substitute for detailed advice  in individual cases.</w:t>
      </w:r>
    </w:p>
    <w:p w14:paraId="357A49DF" w14:textId="77777777" w:rsidR="00221724" w:rsidRPr="00F05494" w:rsidRDefault="00221724" w:rsidP="00221724">
      <w:pPr>
        <w:pStyle w:val="Disclaimer"/>
        <w:rPr>
          <w:rFonts w:ascii="Helvetica" w:hAnsi="Helvetica"/>
        </w:rPr>
      </w:pPr>
      <w:r w:rsidRPr="00F05494">
        <w:rPr>
          <w:rFonts w:ascii="Helvetica" w:hAnsi="Helvetica"/>
        </w:rPr>
        <w:t xml:space="preserve">Transmission of this information is not intended to create and receipt does not constitute a lawyer-client relationship between </w:t>
      </w:r>
      <w:proofErr w:type="spellStart"/>
      <w:r w:rsidRPr="00F05494">
        <w:rPr>
          <w:rFonts w:ascii="Helvetica" w:hAnsi="Helvetica"/>
        </w:rPr>
        <w:t>Charltons</w:t>
      </w:r>
      <w:proofErr w:type="spellEnd"/>
      <w:r w:rsidRPr="00F05494">
        <w:rPr>
          <w:rFonts w:ascii="Helvetica" w:hAnsi="Helvetica"/>
        </w:rPr>
        <w:t xml:space="preserve"> and the user or browser.</w:t>
      </w:r>
    </w:p>
    <w:p w14:paraId="2F70BB04" w14:textId="77777777" w:rsidR="00221724" w:rsidRPr="00F05494" w:rsidRDefault="00221724" w:rsidP="00221724">
      <w:pPr>
        <w:pStyle w:val="Disclaimer"/>
        <w:rPr>
          <w:rFonts w:ascii="Helvetica" w:hAnsi="Helvetica"/>
        </w:rPr>
      </w:pPr>
      <w:proofErr w:type="spellStart"/>
      <w:r w:rsidRPr="00F05494">
        <w:rPr>
          <w:rFonts w:ascii="Helvetica" w:hAnsi="Helvetica"/>
        </w:rPr>
        <w:t>Charltons</w:t>
      </w:r>
      <w:proofErr w:type="spellEnd"/>
      <w:r w:rsidRPr="00F05494">
        <w:rPr>
          <w:rFonts w:ascii="Helvetica" w:hAnsi="Helvetica"/>
        </w:rPr>
        <w:t xml:space="preserve"> is not responsible for any </w:t>
      </w:r>
      <w:proofErr w:type="gramStart"/>
      <w:r w:rsidRPr="00F05494">
        <w:rPr>
          <w:rFonts w:ascii="Helvetica" w:hAnsi="Helvetica"/>
        </w:rPr>
        <w:t>third party</w:t>
      </w:r>
      <w:proofErr w:type="gramEnd"/>
      <w:r w:rsidRPr="00F05494">
        <w:rPr>
          <w:rFonts w:ascii="Helvetica" w:hAnsi="Helvetica"/>
        </w:rPr>
        <w:t xml:space="preserve"> content which can be accessed through the website.</w:t>
      </w:r>
    </w:p>
    <w:p w14:paraId="12C35B7A" w14:textId="77777777" w:rsidR="00221724" w:rsidRPr="00F05494" w:rsidRDefault="00221724" w:rsidP="00221724">
      <w:pPr>
        <w:pStyle w:val="Disclaimer"/>
        <w:rPr>
          <w:rFonts w:ascii="Helvetica" w:hAnsi="Helvetica"/>
        </w:rPr>
      </w:pPr>
      <w:r w:rsidRPr="00F05494">
        <w:rPr>
          <w:rFonts w:ascii="Helvetica" w:hAnsi="Helvetica"/>
        </w:rPr>
        <w:t xml:space="preserve">If you do not wish to receive this </w:t>
      </w:r>
      <w:proofErr w:type="gramStart"/>
      <w:r w:rsidRPr="00F05494">
        <w:rPr>
          <w:rFonts w:ascii="Helvetica" w:hAnsi="Helvetica"/>
        </w:rPr>
        <w:t>newsletter</w:t>
      </w:r>
      <w:proofErr w:type="gramEnd"/>
      <w:r w:rsidRPr="00F05494">
        <w:rPr>
          <w:rFonts w:ascii="Helvetica" w:hAnsi="Helvetica"/>
        </w:rPr>
        <w:t xml:space="preserve"> please let us know by emailing us at  </w:t>
      </w:r>
      <w:hyperlink r:id="rId11">
        <w:r w:rsidRPr="00F05494">
          <w:rPr>
            <w:rFonts w:ascii="Helvetica" w:hAnsi="Helvetica"/>
          </w:rPr>
          <w:t>unsubscribe@charltonslaw.com</w:t>
        </w:r>
      </w:hyperlink>
    </w:p>
    <w:p w14:paraId="6B9914AF" w14:textId="4B884DAA" w:rsidR="00221724" w:rsidRPr="00F05494" w:rsidRDefault="00221724" w:rsidP="00221724">
      <w:pPr>
        <w:pStyle w:val="BlackStrips"/>
        <w:rPr>
          <w:rFonts w:ascii="Helvetica" w:hAnsi="Helvetica"/>
        </w:rPr>
      </w:pPr>
      <w:proofErr w:type="spellStart"/>
      <w:r w:rsidRPr="00F05494">
        <w:rPr>
          <w:rFonts w:ascii="Helvetica" w:hAnsi="Helvetica"/>
        </w:rPr>
        <w:lastRenderedPageBreak/>
        <w:t>Charltons</w:t>
      </w:r>
      <w:proofErr w:type="spellEnd"/>
      <w:r w:rsidRPr="00F05494">
        <w:rPr>
          <w:rFonts w:ascii="Helvetica" w:hAnsi="Helvetica"/>
        </w:rPr>
        <w:t xml:space="preserve"> - Hong Kong Law - </w:t>
      </w:r>
      <w:r>
        <w:rPr>
          <w:rFonts w:ascii="Helvetica" w:hAnsi="Helvetica"/>
        </w:rPr>
        <w:t>07</w:t>
      </w:r>
      <w:r w:rsidRPr="00F05494">
        <w:rPr>
          <w:rFonts w:ascii="Helvetica" w:hAnsi="Helvetica"/>
        </w:rPr>
        <w:t xml:space="preserve"> </w:t>
      </w:r>
      <w:r>
        <w:rPr>
          <w:rFonts w:ascii="Helvetica" w:hAnsi="Helvetica"/>
        </w:rPr>
        <w:t>January</w:t>
      </w:r>
      <w:r w:rsidRPr="00F05494">
        <w:rPr>
          <w:rFonts w:ascii="Helvetica" w:hAnsi="Helvetica"/>
        </w:rPr>
        <w:t xml:space="preserve"> 2021</w:t>
      </w:r>
    </w:p>
    <w:p w14:paraId="51EAD786" w14:textId="77777777" w:rsidR="00221724" w:rsidRPr="00FC195D" w:rsidRDefault="00221724" w:rsidP="00C72BCE">
      <w:pPr>
        <w:spacing w:after="0"/>
        <w:jc w:val="both"/>
      </w:pPr>
    </w:p>
    <w:p w14:paraId="4C9FED39" w14:textId="77777777" w:rsidR="00272F6B" w:rsidRDefault="00272F6B" w:rsidP="00C72BCE">
      <w:pPr>
        <w:jc w:val="both"/>
      </w:pPr>
    </w:p>
    <w:p w14:paraId="2E5C809F" w14:textId="77777777" w:rsidR="00272F6B" w:rsidRPr="00556A33" w:rsidRDefault="00272F6B" w:rsidP="0068059D"/>
    <w:sectPr w:rsidR="00272F6B" w:rsidRPr="00556A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A4A64" w14:textId="77777777" w:rsidR="004D66B3" w:rsidRDefault="004D66B3" w:rsidP="000C3F6B">
      <w:pPr>
        <w:spacing w:after="0" w:line="240" w:lineRule="auto"/>
      </w:pPr>
      <w:r>
        <w:separator/>
      </w:r>
    </w:p>
  </w:endnote>
  <w:endnote w:type="continuationSeparator" w:id="0">
    <w:p w14:paraId="5EF1C84C" w14:textId="77777777" w:rsidR="004D66B3" w:rsidRDefault="004D66B3" w:rsidP="000C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89F88" w14:textId="77777777" w:rsidR="004D66B3" w:rsidRDefault="004D66B3" w:rsidP="000C3F6B">
      <w:pPr>
        <w:spacing w:after="0" w:line="240" w:lineRule="auto"/>
      </w:pPr>
      <w:r>
        <w:separator/>
      </w:r>
    </w:p>
  </w:footnote>
  <w:footnote w:type="continuationSeparator" w:id="0">
    <w:p w14:paraId="45A69D40" w14:textId="77777777" w:rsidR="004D66B3" w:rsidRDefault="004D66B3" w:rsidP="000C3F6B">
      <w:pPr>
        <w:spacing w:after="0" w:line="240" w:lineRule="auto"/>
      </w:pPr>
      <w:r>
        <w:continuationSeparator/>
      </w:r>
    </w:p>
  </w:footnote>
  <w:footnote w:id="1">
    <w:p w14:paraId="1217EE83" w14:textId="77777777" w:rsidR="00B803B7" w:rsidRDefault="00B803B7">
      <w:pPr>
        <w:pStyle w:val="a3"/>
      </w:pPr>
      <w:r>
        <w:rPr>
          <w:rStyle w:val="a5"/>
        </w:rPr>
        <w:footnoteRef/>
      </w:r>
      <w:r>
        <w:t xml:space="preserve"> </w:t>
      </w:r>
      <w:hyperlink r:id="rId1" w:history="1">
        <w:r w:rsidRPr="00B803B7">
          <w:rPr>
            <w:rStyle w:val="a6"/>
          </w:rPr>
          <w:t>https://www.hkex.com.hk/-/media/HKEX-Market/News/Market-Consultations/2016-Present/April-2021-Review-of-CG-Code-and-LR/Conclusions-(Dec-2021)/cp202104cc.pdf?la=en</w:t>
        </w:r>
      </w:hyperlink>
    </w:p>
  </w:footnote>
  <w:footnote w:id="2">
    <w:p w14:paraId="3B25E298" w14:textId="77777777" w:rsidR="000C3F6B" w:rsidRDefault="000C3F6B">
      <w:pPr>
        <w:pStyle w:val="a3"/>
      </w:pPr>
      <w:r>
        <w:rPr>
          <w:rStyle w:val="a5"/>
        </w:rPr>
        <w:footnoteRef/>
      </w:r>
      <w:r>
        <w:t xml:space="preserve"> </w:t>
      </w:r>
      <w:hyperlink r:id="rId2" w:history="1">
        <w:r w:rsidRPr="000C3F6B">
          <w:rPr>
            <w:rStyle w:val="a6"/>
          </w:rPr>
          <w:t>https://www.charltonslaw.com/hkex-proposes-to-revise-corporate-governance-code-and-related-listing-rules/</w:t>
        </w:r>
      </w:hyperlink>
    </w:p>
  </w:footnote>
  <w:footnote w:id="3">
    <w:p w14:paraId="3772B43D" w14:textId="77777777" w:rsidR="002417D2" w:rsidRDefault="002417D2">
      <w:pPr>
        <w:pStyle w:val="a3"/>
      </w:pPr>
      <w:r>
        <w:rPr>
          <w:rStyle w:val="a5"/>
        </w:rPr>
        <w:footnoteRef/>
      </w:r>
      <w:r>
        <w:t xml:space="preserve"> Paragraphs 12.1 and 12.2 to Appendix 16 of the Main Board Listing Rules</w:t>
      </w:r>
      <w:r w:rsidR="00051679">
        <w:t xml:space="preserve"> (GEM Listing Rule 18.39)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F1EA6"/>
    <w:multiLevelType w:val="hybridMultilevel"/>
    <w:tmpl w:val="EB90B1B4"/>
    <w:lvl w:ilvl="0" w:tplc="707823F6">
      <w:start w:val="1"/>
      <w:numFmt w:val="lowerRoman"/>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 w15:restartNumberingAfterBreak="0">
    <w:nsid w:val="36D84CEB"/>
    <w:multiLevelType w:val="multilevel"/>
    <w:tmpl w:val="3AB0B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102B5"/>
    <w:multiLevelType w:val="hybridMultilevel"/>
    <w:tmpl w:val="2BCA6548"/>
    <w:lvl w:ilvl="0" w:tplc="707823F6">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ED"/>
    <w:rsid w:val="000341D3"/>
    <w:rsid w:val="00037D06"/>
    <w:rsid w:val="00051679"/>
    <w:rsid w:val="00070E68"/>
    <w:rsid w:val="000820D3"/>
    <w:rsid w:val="0008759A"/>
    <w:rsid w:val="000C3F6B"/>
    <w:rsid w:val="000D3838"/>
    <w:rsid w:val="000D55D2"/>
    <w:rsid w:val="00107E40"/>
    <w:rsid w:val="001220C1"/>
    <w:rsid w:val="00125262"/>
    <w:rsid w:val="00126F32"/>
    <w:rsid w:val="00130091"/>
    <w:rsid w:val="00137835"/>
    <w:rsid w:val="001517CE"/>
    <w:rsid w:val="00157DD4"/>
    <w:rsid w:val="00174527"/>
    <w:rsid w:val="00183DCC"/>
    <w:rsid w:val="001B33F3"/>
    <w:rsid w:val="00201C02"/>
    <w:rsid w:val="00216EB1"/>
    <w:rsid w:val="00221724"/>
    <w:rsid w:val="002250B4"/>
    <w:rsid w:val="00237448"/>
    <w:rsid w:val="002417D2"/>
    <w:rsid w:val="00242C4D"/>
    <w:rsid w:val="00272F6B"/>
    <w:rsid w:val="00275698"/>
    <w:rsid w:val="002D7557"/>
    <w:rsid w:val="002E2F57"/>
    <w:rsid w:val="002E6879"/>
    <w:rsid w:val="0030033B"/>
    <w:rsid w:val="003134E2"/>
    <w:rsid w:val="00320F96"/>
    <w:rsid w:val="00326B10"/>
    <w:rsid w:val="00374CF7"/>
    <w:rsid w:val="00376E22"/>
    <w:rsid w:val="00391757"/>
    <w:rsid w:val="00393396"/>
    <w:rsid w:val="003D2AC4"/>
    <w:rsid w:val="003E5607"/>
    <w:rsid w:val="00400BAF"/>
    <w:rsid w:val="00423C2E"/>
    <w:rsid w:val="00425BE6"/>
    <w:rsid w:val="00436DAF"/>
    <w:rsid w:val="004675A9"/>
    <w:rsid w:val="004953C5"/>
    <w:rsid w:val="004C0B63"/>
    <w:rsid w:val="004C4E5B"/>
    <w:rsid w:val="004D66B3"/>
    <w:rsid w:val="00552DED"/>
    <w:rsid w:val="00556A33"/>
    <w:rsid w:val="005612B5"/>
    <w:rsid w:val="00565E94"/>
    <w:rsid w:val="00575B7A"/>
    <w:rsid w:val="00597661"/>
    <w:rsid w:val="006443C2"/>
    <w:rsid w:val="00673CFE"/>
    <w:rsid w:val="0068059D"/>
    <w:rsid w:val="00682039"/>
    <w:rsid w:val="006829D5"/>
    <w:rsid w:val="00690FC5"/>
    <w:rsid w:val="00691DEC"/>
    <w:rsid w:val="00692569"/>
    <w:rsid w:val="006A0BBB"/>
    <w:rsid w:val="006A40D5"/>
    <w:rsid w:val="006B547B"/>
    <w:rsid w:val="006D580A"/>
    <w:rsid w:val="00713395"/>
    <w:rsid w:val="007501A1"/>
    <w:rsid w:val="007527C5"/>
    <w:rsid w:val="00787939"/>
    <w:rsid w:val="007B110F"/>
    <w:rsid w:val="007C58D6"/>
    <w:rsid w:val="007E6C1A"/>
    <w:rsid w:val="007F12D2"/>
    <w:rsid w:val="00803578"/>
    <w:rsid w:val="00825B10"/>
    <w:rsid w:val="00865D7F"/>
    <w:rsid w:val="008712F8"/>
    <w:rsid w:val="0087755E"/>
    <w:rsid w:val="008922EB"/>
    <w:rsid w:val="00892B7C"/>
    <w:rsid w:val="008B3F59"/>
    <w:rsid w:val="008B4CA8"/>
    <w:rsid w:val="008F4F15"/>
    <w:rsid w:val="00912D6B"/>
    <w:rsid w:val="009175A3"/>
    <w:rsid w:val="00922822"/>
    <w:rsid w:val="00991659"/>
    <w:rsid w:val="009A328C"/>
    <w:rsid w:val="009B3F53"/>
    <w:rsid w:val="009D4148"/>
    <w:rsid w:val="00A76B4C"/>
    <w:rsid w:val="00AB3B45"/>
    <w:rsid w:val="00AB5E44"/>
    <w:rsid w:val="00AE4590"/>
    <w:rsid w:val="00AF242C"/>
    <w:rsid w:val="00AF3EF7"/>
    <w:rsid w:val="00AF7FBD"/>
    <w:rsid w:val="00B5693F"/>
    <w:rsid w:val="00B674C9"/>
    <w:rsid w:val="00B803B7"/>
    <w:rsid w:val="00B95B8D"/>
    <w:rsid w:val="00BD3B08"/>
    <w:rsid w:val="00C4326B"/>
    <w:rsid w:val="00C72BCE"/>
    <w:rsid w:val="00CE0110"/>
    <w:rsid w:val="00D074E2"/>
    <w:rsid w:val="00D50D1C"/>
    <w:rsid w:val="00D91F2A"/>
    <w:rsid w:val="00D96377"/>
    <w:rsid w:val="00DC360F"/>
    <w:rsid w:val="00DC4B23"/>
    <w:rsid w:val="00DD70B3"/>
    <w:rsid w:val="00E145AA"/>
    <w:rsid w:val="00E171E8"/>
    <w:rsid w:val="00E22EEB"/>
    <w:rsid w:val="00E27CE3"/>
    <w:rsid w:val="00E32CE3"/>
    <w:rsid w:val="00E9364B"/>
    <w:rsid w:val="00EA7B8D"/>
    <w:rsid w:val="00EB3FEF"/>
    <w:rsid w:val="00ED39A5"/>
    <w:rsid w:val="00F27189"/>
    <w:rsid w:val="00F4718C"/>
    <w:rsid w:val="00F55CD9"/>
    <w:rsid w:val="00F60AC1"/>
    <w:rsid w:val="00F629D5"/>
    <w:rsid w:val="00FC195D"/>
    <w:rsid w:val="00FC7287"/>
    <w:rsid w:val="00FE42F7"/>
    <w:rsid w:val="00FF0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1871"/>
  <w15:chartTrackingRefBased/>
  <w15:docId w15:val="{174376D5-C144-4E1D-A6DB-741E0C4A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C3F6B"/>
    <w:pPr>
      <w:spacing w:after="0" w:line="240" w:lineRule="auto"/>
    </w:pPr>
    <w:rPr>
      <w:sz w:val="20"/>
      <w:szCs w:val="20"/>
    </w:rPr>
  </w:style>
  <w:style w:type="character" w:customStyle="1" w:styleId="a4">
    <w:name w:val="Текст сноски Знак"/>
    <w:basedOn w:val="a0"/>
    <w:link w:val="a3"/>
    <w:uiPriority w:val="99"/>
    <w:semiHidden/>
    <w:rsid w:val="000C3F6B"/>
    <w:rPr>
      <w:sz w:val="20"/>
      <w:szCs w:val="20"/>
    </w:rPr>
  </w:style>
  <w:style w:type="character" w:styleId="a5">
    <w:name w:val="footnote reference"/>
    <w:basedOn w:val="a0"/>
    <w:uiPriority w:val="99"/>
    <w:semiHidden/>
    <w:unhideWhenUsed/>
    <w:rsid w:val="000C3F6B"/>
    <w:rPr>
      <w:vertAlign w:val="superscript"/>
    </w:rPr>
  </w:style>
  <w:style w:type="character" w:styleId="a6">
    <w:name w:val="Hyperlink"/>
    <w:basedOn w:val="a0"/>
    <w:uiPriority w:val="99"/>
    <w:unhideWhenUsed/>
    <w:rsid w:val="000C3F6B"/>
    <w:rPr>
      <w:color w:val="0563C1" w:themeColor="hyperlink"/>
      <w:u w:val="single"/>
    </w:rPr>
  </w:style>
  <w:style w:type="paragraph" w:styleId="a7">
    <w:name w:val="List Paragraph"/>
    <w:basedOn w:val="a"/>
    <w:uiPriority w:val="34"/>
    <w:qFormat/>
    <w:rsid w:val="0030033B"/>
    <w:pPr>
      <w:ind w:left="720"/>
      <w:contextualSpacing/>
    </w:pPr>
  </w:style>
  <w:style w:type="character" w:styleId="a8">
    <w:name w:val="FollowedHyperlink"/>
    <w:basedOn w:val="a0"/>
    <w:uiPriority w:val="99"/>
    <w:semiHidden/>
    <w:unhideWhenUsed/>
    <w:rsid w:val="006A0BBB"/>
    <w:rPr>
      <w:color w:val="954F72" w:themeColor="followedHyperlink"/>
      <w:u w:val="single"/>
    </w:rPr>
  </w:style>
  <w:style w:type="paragraph" w:customStyle="1" w:styleId="BlackStrips">
    <w:name w:val="Black Strips"/>
    <w:basedOn w:val="a"/>
    <w:qFormat/>
    <w:rsid w:val="00221724"/>
    <w:pPr>
      <w:shd w:val="clear" w:color="auto" w:fill="000000"/>
      <w:spacing w:after="200" w:line="240" w:lineRule="auto"/>
      <w:jc w:val="center"/>
    </w:pPr>
    <w:rPr>
      <w:rFonts w:eastAsiaTheme="minorHAnsi"/>
      <w:color w:val="FFFFFF"/>
      <w:sz w:val="24"/>
      <w:szCs w:val="24"/>
      <w:lang w:eastAsia="en-US"/>
    </w:rPr>
  </w:style>
  <w:style w:type="paragraph" w:customStyle="1" w:styleId="ReadOnline">
    <w:name w:val="Read Online"/>
    <w:basedOn w:val="a"/>
    <w:qFormat/>
    <w:rsid w:val="00221724"/>
    <w:pPr>
      <w:spacing w:after="200" w:line="240" w:lineRule="auto"/>
      <w:jc w:val="center"/>
    </w:pPr>
    <w:rPr>
      <w:rFonts w:eastAsiaTheme="minorHAnsi"/>
      <w:color w:val="00000A"/>
      <w:sz w:val="28"/>
      <w:szCs w:val="24"/>
      <w:u w:val="single"/>
      <w:lang w:eastAsia="en-US"/>
    </w:rPr>
  </w:style>
  <w:style w:type="paragraph" w:customStyle="1" w:styleId="Disclaimer">
    <w:name w:val="Disclaimer"/>
    <w:basedOn w:val="a"/>
    <w:qFormat/>
    <w:rsid w:val="00221724"/>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DisclaimerBold">
    <w:name w:val="Disclaimer Bold"/>
    <w:basedOn w:val="Disclaimer"/>
    <w:qFormat/>
    <w:rsid w:val="00221724"/>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066038">
      <w:bodyDiv w:val="1"/>
      <w:marLeft w:val="0"/>
      <w:marRight w:val="0"/>
      <w:marTop w:val="0"/>
      <w:marBottom w:val="0"/>
      <w:divBdr>
        <w:top w:val="none" w:sz="0" w:space="0" w:color="auto"/>
        <w:left w:val="none" w:sz="0" w:space="0" w:color="auto"/>
        <w:bottom w:val="none" w:sz="0" w:space="0" w:color="auto"/>
        <w:right w:val="none" w:sz="0" w:space="0" w:color="auto"/>
      </w:divBdr>
    </w:div>
    <w:div w:id="193281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kex-corporate-governance-code-and-listing-rule-changes-effective-1-jan-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0" Type="http://schemas.openxmlformats.org/officeDocument/2006/relationships/hyperlink" Target="https://www.hkex.com.hk/-/media/HKEX-Market/Listing/Rules-and-Guidance/Corporate-Governance-Practices/guide_board_dir.pdf?la=en" TargetMode="External"/><Relationship Id="rId4" Type="http://schemas.openxmlformats.org/officeDocument/2006/relationships/settings" Target="settings.xml"/><Relationship Id="rId9" Type="http://schemas.openxmlformats.org/officeDocument/2006/relationships/hyperlink" Target="https://www.charltonslaw.com/hkex-proposes-to-revise-corporate-governance-code-and-related-listing-rul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harltonslaw.com/hkex-proposes-to-revise-corporate-governance-code-and-related-listing-rules/" TargetMode="External"/><Relationship Id="rId1" Type="http://schemas.openxmlformats.org/officeDocument/2006/relationships/hyperlink" Target="https://www.hkex.com.hk/-/media/HKEX-Market/News/Market-Consultations/2016-Present/April-2021-Review-of-CG-Code-and-LR/Conclusions-(Dec-2021)/cp202104cc.pdf?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0D4D-70E2-4BA6-8AF3-B3B60755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Microsoft Office User</cp:lastModifiedBy>
  <cp:revision>5</cp:revision>
  <dcterms:created xsi:type="dcterms:W3CDTF">2022-01-07T07:09:00Z</dcterms:created>
  <dcterms:modified xsi:type="dcterms:W3CDTF">2022-01-10T10:02:00Z</dcterms:modified>
</cp:coreProperties>
</file>