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6F377" w14:textId="5570268C" w:rsidR="00F05494" w:rsidRPr="00F05494" w:rsidRDefault="00F05494" w:rsidP="00F05494">
      <w:pPr>
        <w:pStyle w:val="BlackStrips"/>
        <w:rPr>
          <w:rFonts w:ascii="Helvetica" w:hAnsi="Helvetica" w:cs="Arial"/>
        </w:rPr>
      </w:pPr>
      <w:r w:rsidRPr="00F05494">
        <w:rPr>
          <w:rFonts w:ascii="Helvetica" w:hAnsi="Helvetica" w:cs="Arial"/>
        </w:rPr>
        <w:t>Charltons - Hong Kong Law - 22 December 2021</w:t>
      </w:r>
    </w:p>
    <w:p w14:paraId="7FFC5DC9" w14:textId="441615B2" w:rsidR="00F05494" w:rsidRPr="00F05494" w:rsidRDefault="00785F70" w:rsidP="00F05494">
      <w:pPr>
        <w:pStyle w:val="ReadOnline"/>
        <w:rPr>
          <w:rFonts w:ascii="Helvetica" w:hAnsi="Helvetica"/>
        </w:rPr>
      </w:pPr>
      <w:hyperlink r:id="rId8">
        <w:r w:rsidR="00F05494" w:rsidRPr="00F05494">
          <w:rPr>
            <w:rFonts w:ascii="Helvetica" w:hAnsi="Helvetica"/>
          </w:rPr>
          <w:t>online version</w:t>
        </w:r>
      </w:hyperlink>
    </w:p>
    <w:p w14:paraId="60AEEF77" w14:textId="1E3211B8" w:rsidR="00101483" w:rsidRDefault="00101483" w:rsidP="00101483">
      <w:pPr>
        <w:shd w:val="clear" w:color="auto" w:fill="FFFFFF"/>
        <w:spacing w:before="139" w:line="209" w:lineRule="exact"/>
        <w:jc w:val="center"/>
        <w:rPr>
          <w:rFonts w:ascii="Helvetica" w:eastAsia="Times New Roman" w:hAnsi="Helvetica" w:cs="Helvetica"/>
          <w:b/>
          <w:color w:val="FF0000"/>
        </w:rPr>
      </w:pPr>
      <w:r w:rsidRPr="00101483">
        <w:rPr>
          <w:rFonts w:ascii="Helvetica" w:eastAsia="Times New Roman" w:hAnsi="Helvetica" w:cs="Helvetica"/>
          <w:b/>
          <w:color w:val="FF0000"/>
        </w:rPr>
        <w:t>Overview of HKEX’s New SPAC Listing Regime</w:t>
      </w:r>
    </w:p>
    <w:p w14:paraId="27EF2A82" w14:textId="371CA33B" w:rsidR="00EE59CD" w:rsidRPr="00EE59CD" w:rsidRDefault="00AE312F" w:rsidP="00F24225">
      <w:pPr>
        <w:shd w:val="clear" w:color="auto" w:fill="FFFFFF"/>
        <w:spacing w:before="139" w:line="209" w:lineRule="exact"/>
        <w:jc w:val="both"/>
        <w:rPr>
          <w:rFonts w:ascii="Helvetica" w:eastAsia="Times New Roman" w:hAnsi="Helvetica" w:cs="Helvetica"/>
        </w:rPr>
      </w:pPr>
      <w:r w:rsidRPr="00EE59CD">
        <w:rPr>
          <w:rFonts w:ascii="Helvetica" w:eastAsia="Times New Roman" w:hAnsi="Helvetica" w:cs="Helvetica"/>
        </w:rPr>
        <w:t xml:space="preserve">The HKEX’s new listing regime allowing SPACs to list on the Main Board of the Hong Kong Stock Exchange will take effect on 1 January 2022 under amendments to the HKEX Listing Rules, including new Chapter 18B on SPAC listings, published in the HKEX’s </w:t>
      </w:r>
      <w:r w:rsidRPr="00EE59CD">
        <w:rPr>
          <w:rFonts w:ascii="Helvetica" w:hAnsi="Helvetica" w:cs="Helvetica"/>
        </w:rPr>
        <w:t>“</w:t>
      </w:r>
      <w:hyperlink r:id="rId9" w:history="1">
        <w:r w:rsidRPr="00EE59CD">
          <w:rPr>
            <w:rStyle w:val="a7"/>
            <w:rFonts w:ascii="Helvetica" w:eastAsia="Times New Roman" w:hAnsi="Helvetica" w:cs="Helvetica"/>
          </w:rPr>
          <w:t>Consultation Conclusions on Special Purpose Acquisition Companies</w:t>
        </w:r>
      </w:hyperlink>
      <w:r w:rsidRPr="00EE59CD">
        <w:rPr>
          <w:rFonts w:ascii="Helvetica" w:hAnsi="Helvetica" w:cs="Helvetica"/>
        </w:rPr>
        <w:t>”</w:t>
      </w:r>
      <w:r w:rsidR="000815BE">
        <w:rPr>
          <w:rFonts w:ascii="Helvetica" w:hAnsi="Helvetica" w:cs="Helvetica"/>
        </w:rPr>
        <w:t xml:space="preserve"> on 17 December 2021</w:t>
      </w:r>
      <w:r w:rsidR="00EE59CD" w:rsidRPr="00EE59CD">
        <w:rPr>
          <w:rFonts w:ascii="Helvetica" w:hAnsi="Helvetica" w:cs="Helvetica"/>
        </w:rPr>
        <w:t>.</w:t>
      </w:r>
      <w:r w:rsidRPr="00EE59CD">
        <w:rPr>
          <w:rStyle w:val="a5"/>
          <w:rFonts w:ascii="Helvetica" w:hAnsi="Helvetica" w:cs="Helvetica"/>
        </w:rPr>
        <w:footnoteReference w:id="1"/>
      </w:r>
      <w:r w:rsidRPr="00EE59CD">
        <w:rPr>
          <w:rFonts w:ascii="Helvetica" w:hAnsi="Helvetica" w:cs="Helvetica"/>
        </w:rPr>
        <w:t xml:space="preserve"> </w:t>
      </w:r>
      <w:r w:rsidR="00EE59CD" w:rsidRPr="00EE59CD">
        <w:rPr>
          <w:rFonts w:ascii="Helvetica" w:hAnsi="Helvetica" w:cs="Helvetica"/>
        </w:rPr>
        <w:t>The Consulta</w:t>
      </w:r>
      <w:r w:rsidR="009C3390">
        <w:rPr>
          <w:rFonts w:ascii="Helvetica" w:hAnsi="Helvetica" w:cs="Helvetica"/>
        </w:rPr>
        <w:t>tion Conclusions broadly adopt</w:t>
      </w:r>
      <w:r w:rsidR="00EE59CD" w:rsidRPr="00EE59CD">
        <w:rPr>
          <w:rFonts w:ascii="Helvetica" w:hAnsi="Helvetica" w:cs="Helvetica"/>
        </w:rPr>
        <w:t xml:space="preserve"> </w:t>
      </w:r>
      <w:r w:rsidR="00EE59CD" w:rsidRPr="00EE59CD">
        <w:rPr>
          <w:rFonts w:ascii="Helvetica" w:eastAsia="Times New Roman" w:hAnsi="Helvetica" w:cs="Helvetica"/>
        </w:rPr>
        <w:t xml:space="preserve">the proposals set out in the HKEX’s </w:t>
      </w:r>
      <w:r w:rsidRPr="00EE59CD">
        <w:rPr>
          <w:rFonts w:ascii="Helvetica" w:hAnsi="Helvetica" w:cs="Helvetica"/>
        </w:rPr>
        <w:t>September 2021</w:t>
      </w:r>
      <w:r w:rsidR="00EE59CD" w:rsidRPr="00EE59CD">
        <w:rPr>
          <w:rFonts w:ascii="Helvetica" w:hAnsi="Helvetica" w:cs="Helvetica"/>
        </w:rPr>
        <w:t xml:space="preserve"> consultation paper,</w:t>
      </w:r>
      <w:r w:rsidRPr="00EE59CD">
        <w:rPr>
          <w:rStyle w:val="a5"/>
          <w:rFonts w:ascii="Helvetica" w:eastAsia="Times New Roman" w:hAnsi="Helvetica" w:cs="Helvetica"/>
        </w:rPr>
        <w:footnoteReference w:id="2"/>
      </w:r>
      <w:r w:rsidRPr="00EE59CD">
        <w:rPr>
          <w:rFonts w:ascii="Helvetica" w:eastAsia="Times New Roman" w:hAnsi="Helvetica" w:cs="Helvetica"/>
        </w:rPr>
        <w:t xml:space="preserve"> </w:t>
      </w:r>
      <w:r w:rsidR="00EE59CD" w:rsidRPr="00EE59CD">
        <w:rPr>
          <w:rFonts w:ascii="Helvetica" w:eastAsia="Times New Roman" w:hAnsi="Helvetica" w:cs="Helvetica"/>
        </w:rPr>
        <w:t xml:space="preserve">with minor amendments. </w:t>
      </w:r>
      <w:r w:rsidR="000815BE">
        <w:rPr>
          <w:rFonts w:ascii="Helvetica" w:eastAsia="Times New Roman" w:hAnsi="Helvetica" w:cs="Helvetica"/>
        </w:rPr>
        <w:t xml:space="preserve">The proposed Listing Rule amendments and a draft of a proposed new Guidance Letter on Special Purpose Acquisition Companies (the </w:t>
      </w:r>
      <w:r w:rsidR="000815BE" w:rsidRPr="0080529E">
        <w:rPr>
          <w:rFonts w:ascii="Helvetica" w:eastAsia="Times New Roman" w:hAnsi="Helvetica" w:cs="Helvetica"/>
          <w:b/>
        </w:rPr>
        <w:t>SPAC Guidance Letter</w:t>
      </w:r>
      <w:r w:rsidR="000815BE">
        <w:rPr>
          <w:rFonts w:ascii="Helvetica" w:eastAsia="Times New Roman" w:hAnsi="Helvetica" w:cs="Helvetica"/>
        </w:rPr>
        <w:t>) are set out in Appendices IV and V, respectively, to the Consultation Conclusions.</w:t>
      </w:r>
    </w:p>
    <w:p w14:paraId="1D3E92CC" w14:textId="7403AD5C" w:rsidR="00AE312F" w:rsidRDefault="00EE59CD" w:rsidP="00F24225">
      <w:pPr>
        <w:shd w:val="clear" w:color="auto" w:fill="FFFFFF"/>
        <w:spacing w:before="139" w:line="209" w:lineRule="exact"/>
        <w:jc w:val="both"/>
        <w:rPr>
          <w:rFonts w:ascii="Helvetica" w:eastAsia="Times New Roman" w:hAnsi="Helvetica" w:cs="Helvetica"/>
        </w:rPr>
      </w:pPr>
      <w:r>
        <w:rPr>
          <w:rFonts w:ascii="Helvetica" w:eastAsia="Times New Roman" w:hAnsi="Helvetica" w:cs="Helvetica"/>
        </w:rPr>
        <w:t xml:space="preserve">Special </w:t>
      </w:r>
      <w:r w:rsidR="00FE5109">
        <w:rPr>
          <w:rFonts w:ascii="Helvetica" w:eastAsia="Times New Roman" w:hAnsi="Helvetica" w:cs="Helvetica"/>
        </w:rPr>
        <w:t xml:space="preserve">purpose </w:t>
      </w:r>
      <w:r w:rsidR="00AE44DC" w:rsidRPr="00AE44DC">
        <w:rPr>
          <w:rFonts w:ascii="Helvetica" w:eastAsia="Times New Roman" w:hAnsi="Helvetica" w:cs="Helvetica"/>
        </w:rPr>
        <w:t>acquisition</w:t>
      </w:r>
      <w:r w:rsidR="00AE44DC">
        <w:rPr>
          <w:rFonts w:ascii="Helvetica" w:eastAsia="Times New Roman" w:hAnsi="Helvetica" w:cs="Helvetica"/>
        </w:rPr>
        <w:t xml:space="preserve"> </w:t>
      </w:r>
      <w:r>
        <w:rPr>
          <w:rFonts w:ascii="Helvetica" w:eastAsia="Times New Roman" w:hAnsi="Helvetica" w:cs="Helvetica"/>
        </w:rPr>
        <w:t xml:space="preserve">companies or </w:t>
      </w:r>
      <w:r w:rsidR="00AE312F" w:rsidRPr="00EE59CD">
        <w:rPr>
          <w:rFonts w:ascii="Helvetica" w:eastAsia="Times New Roman" w:hAnsi="Helvetica" w:cs="Helvetica"/>
        </w:rPr>
        <w:t>SPAC</w:t>
      </w:r>
      <w:r>
        <w:rPr>
          <w:rFonts w:ascii="Helvetica" w:eastAsia="Times New Roman" w:hAnsi="Helvetica" w:cs="Helvetica"/>
        </w:rPr>
        <w:t>s are</w:t>
      </w:r>
      <w:r w:rsidR="00AE312F" w:rsidRPr="00EE59CD">
        <w:rPr>
          <w:rFonts w:ascii="Helvetica" w:eastAsia="Times New Roman" w:hAnsi="Helvetica" w:cs="Helvetica"/>
        </w:rPr>
        <w:t xml:space="preserve"> </w:t>
      </w:r>
      <w:r w:rsidR="00F24225">
        <w:rPr>
          <w:rFonts w:ascii="Helvetica" w:eastAsia="Times New Roman" w:hAnsi="Helvetica" w:cs="Helvetica"/>
        </w:rPr>
        <w:t>companies</w:t>
      </w:r>
      <w:r w:rsidR="00AE312F" w:rsidRPr="00EE59CD">
        <w:rPr>
          <w:rFonts w:ascii="Helvetica" w:eastAsia="Times New Roman" w:hAnsi="Helvetica" w:cs="Helvetica"/>
        </w:rPr>
        <w:t xml:space="preserve"> </w:t>
      </w:r>
      <w:r w:rsidR="000815BE">
        <w:rPr>
          <w:rFonts w:ascii="Helvetica" w:eastAsia="Times New Roman" w:hAnsi="Helvetica" w:cs="Helvetica"/>
        </w:rPr>
        <w:t xml:space="preserve">without business operations that raise funds through an IPO for the purpose </w:t>
      </w:r>
      <w:r w:rsidR="00AE312F" w:rsidRPr="00EE59CD">
        <w:rPr>
          <w:rFonts w:ascii="Helvetica" w:eastAsia="Times New Roman" w:hAnsi="Helvetica" w:cs="Helvetica"/>
        </w:rPr>
        <w:t>of conducting a business combination</w:t>
      </w:r>
      <w:r w:rsidR="000815BE">
        <w:rPr>
          <w:rStyle w:val="a5"/>
          <w:rFonts w:ascii="Helvetica" w:eastAsia="Times New Roman" w:hAnsi="Helvetica"/>
        </w:rPr>
        <w:footnoteReference w:id="3"/>
      </w:r>
      <w:r w:rsidR="00AE312F" w:rsidRPr="00EE59CD">
        <w:rPr>
          <w:rFonts w:ascii="Helvetica" w:eastAsia="Times New Roman" w:hAnsi="Helvetica" w:cs="Helvetica"/>
        </w:rPr>
        <w:t xml:space="preserve"> with a target (a </w:t>
      </w:r>
      <w:r w:rsidR="00AE312F" w:rsidRPr="009C3390">
        <w:rPr>
          <w:rFonts w:ascii="Helvetica" w:eastAsia="Times New Roman" w:hAnsi="Helvetica" w:cs="Helvetica"/>
          <w:b/>
        </w:rPr>
        <w:t>De-SPAC Target</w:t>
      </w:r>
      <w:r w:rsidR="00AE312F" w:rsidRPr="00EE59CD">
        <w:rPr>
          <w:rFonts w:ascii="Helvetica" w:eastAsia="Times New Roman" w:hAnsi="Helvetica" w:cs="Helvetica"/>
        </w:rPr>
        <w:t xml:space="preserve">) within a pre-defined time period </w:t>
      </w:r>
      <w:r>
        <w:rPr>
          <w:rFonts w:ascii="Helvetica" w:eastAsia="Times New Roman" w:hAnsi="Helvetica" w:cs="Helvetica"/>
        </w:rPr>
        <w:t xml:space="preserve">in order to list </w:t>
      </w:r>
      <w:r w:rsidR="00AE312F" w:rsidRPr="00EE59CD">
        <w:rPr>
          <w:rFonts w:ascii="Helvetica" w:eastAsia="Times New Roman" w:hAnsi="Helvetica" w:cs="Helvetica"/>
        </w:rPr>
        <w:t xml:space="preserve">the De-SPAC Target. A De-SPAC Transaction is a business combination between a SPAC and a De-SPAC Target that results in the listing of a Successor Company. The </w:t>
      </w:r>
      <w:r w:rsidR="008F1BFF">
        <w:rPr>
          <w:rFonts w:ascii="Helvetica" w:eastAsia="Times New Roman" w:hAnsi="Helvetica" w:cs="Helvetica"/>
        </w:rPr>
        <w:t>HK</w:t>
      </w:r>
      <w:r w:rsidR="00907827">
        <w:rPr>
          <w:rFonts w:ascii="Helvetica" w:eastAsia="Times New Roman" w:hAnsi="Helvetica" w:cs="Helvetica"/>
        </w:rPr>
        <w:t>EX</w:t>
      </w:r>
      <w:r w:rsidR="008F1BFF">
        <w:rPr>
          <w:rFonts w:ascii="Helvetica" w:eastAsia="Times New Roman" w:hAnsi="Helvetica" w:cs="Helvetica"/>
        </w:rPr>
        <w:t xml:space="preserve"> has been keen to introduce</w:t>
      </w:r>
      <w:r w:rsidR="00AE312F" w:rsidRPr="00EE59CD">
        <w:rPr>
          <w:rFonts w:ascii="Helvetica" w:eastAsia="Times New Roman" w:hAnsi="Helvetica" w:cs="Helvetica"/>
        </w:rPr>
        <w:t xml:space="preserve"> a SPAC listing regime in Hong Kong </w:t>
      </w:r>
      <w:r w:rsidR="008F1BFF">
        <w:rPr>
          <w:rFonts w:ascii="Helvetica" w:eastAsia="Times New Roman" w:hAnsi="Helvetica" w:cs="Helvetica"/>
        </w:rPr>
        <w:t xml:space="preserve">to ensure its continued </w:t>
      </w:r>
      <w:r w:rsidR="00AE312F" w:rsidRPr="00EE59CD">
        <w:rPr>
          <w:rFonts w:ascii="Helvetica" w:eastAsia="Times New Roman" w:hAnsi="Helvetica" w:cs="Helvetica"/>
        </w:rPr>
        <w:t>competitive</w:t>
      </w:r>
      <w:r w:rsidR="008F1BFF">
        <w:rPr>
          <w:rFonts w:ascii="Helvetica" w:eastAsia="Times New Roman" w:hAnsi="Helvetica" w:cs="Helvetica"/>
        </w:rPr>
        <w:t xml:space="preserve">ness and </w:t>
      </w:r>
      <w:r w:rsidR="00AE312F" w:rsidRPr="00EE59CD">
        <w:rPr>
          <w:rFonts w:ascii="Helvetica" w:eastAsia="Times New Roman" w:hAnsi="Helvetica" w:cs="Helvetica"/>
        </w:rPr>
        <w:t>continue</w:t>
      </w:r>
      <w:r w:rsidR="008F1BFF">
        <w:rPr>
          <w:rFonts w:ascii="Helvetica" w:eastAsia="Times New Roman" w:hAnsi="Helvetica" w:cs="Helvetica"/>
        </w:rPr>
        <w:t>d ability</w:t>
      </w:r>
      <w:r w:rsidR="00AE312F" w:rsidRPr="00EE59CD">
        <w:rPr>
          <w:rFonts w:ascii="Helvetica" w:eastAsia="Times New Roman" w:hAnsi="Helvetica" w:cs="Helvetica"/>
        </w:rPr>
        <w:t xml:space="preserve"> to attract the listings of Mainland and South East Asian companies that </w:t>
      </w:r>
      <w:r w:rsidR="009C3390">
        <w:rPr>
          <w:rFonts w:ascii="Helvetica" w:eastAsia="Times New Roman" w:hAnsi="Helvetica" w:cs="Helvetica"/>
        </w:rPr>
        <w:t xml:space="preserve">might otherwise </w:t>
      </w:r>
      <w:r w:rsidR="00AE312F" w:rsidRPr="00EE59CD">
        <w:rPr>
          <w:rFonts w:ascii="Helvetica" w:eastAsia="Times New Roman" w:hAnsi="Helvetica" w:cs="Helvetica"/>
        </w:rPr>
        <w:t xml:space="preserve">opt to list elsewhere in De-SPAC Transactions. US-listed SPACs </w:t>
      </w:r>
      <w:r w:rsidR="008F1BFF">
        <w:rPr>
          <w:rFonts w:ascii="Helvetica" w:eastAsia="Times New Roman" w:hAnsi="Helvetica" w:cs="Helvetica"/>
        </w:rPr>
        <w:t xml:space="preserve">have seen </w:t>
      </w:r>
      <w:r w:rsidR="00AE312F" w:rsidRPr="00EE59CD">
        <w:rPr>
          <w:rFonts w:ascii="Helvetica" w:eastAsia="Times New Roman" w:hAnsi="Helvetica" w:cs="Helvetica"/>
        </w:rPr>
        <w:t>a surge in popularity</w:t>
      </w:r>
      <w:r w:rsidR="008F1BFF">
        <w:rPr>
          <w:rFonts w:ascii="Helvetica" w:eastAsia="Times New Roman" w:hAnsi="Helvetica" w:cs="Helvetica"/>
        </w:rPr>
        <w:t xml:space="preserve"> </w:t>
      </w:r>
      <w:r w:rsidR="00AE312F" w:rsidRPr="00EE59CD">
        <w:rPr>
          <w:rFonts w:ascii="Helvetica" w:eastAsia="Times New Roman" w:hAnsi="Helvetica" w:cs="Helvetica"/>
        </w:rPr>
        <w:t>while Singapore and the UK have revised or implemented their own SPAC listi</w:t>
      </w:r>
      <w:r w:rsidR="00907827">
        <w:rPr>
          <w:rFonts w:ascii="Helvetica" w:eastAsia="Times New Roman" w:hAnsi="Helvetica" w:cs="Helvetica"/>
        </w:rPr>
        <w:t>ng regimes.</w:t>
      </w:r>
      <w:r w:rsidR="00AE312F" w:rsidRPr="00EE59CD">
        <w:rPr>
          <w:rStyle w:val="a5"/>
          <w:rFonts w:ascii="Helvetica" w:eastAsia="Times New Roman" w:hAnsi="Helvetica" w:cs="Helvetica"/>
        </w:rPr>
        <w:footnoteReference w:id="4"/>
      </w:r>
      <w:r w:rsidR="00907827">
        <w:rPr>
          <w:rFonts w:ascii="Helvetica" w:eastAsia="Times New Roman" w:hAnsi="Helvetica" w:cs="Helvetica"/>
        </w:rPr>
        <w:t xml:space="preserve"> </w:t>
      </w:r>
    </w:p>
    <w:p w14:paraId="04926039" w14:textId="77777777" w:rsidR="008F1BFF" w:rsidRDefault="00F24225" w:rsidP="008F1BFF">
      <w:pPr>
        <w:shd w:val="clear" w:color="auto" w:fill="FFFFFF"/>
        <w:spacing w:before="139" w:line="209" w:lineRule="exact"/>
        <w:jc w:val="both"/>
        <w:rPr>
          <w:rFonts w:ascii="Helvetica" w:eastAsia="Times New Roman" w:hAnsi="Helvetica" w:cs="Helvetica"/>
          <w:b/>
          <w:color w:val="FF0000"/>
        </w:rPr>
      </w:pPr>
      <w:r>
        <w:rPr>
          <w:rFonts w:ascii="Helvetica" w:eastAsia="Times New Roman" w:hAnsi="Helvetica" w:cs="Helvetica"/>
          <w:b/>
          <w:color w:val="FF0000"/>
        </w:rPr>
        <w:t xml:space="preserve">SPAC </w:t>
      </w:r>
      <w:r w:rsidR="008F1BFF" w:rsidRPr="008F1BFF">
        <w:rPr>
          <w:rFonts w:ascii="Helvetica" w:eastAsia="Times New Roman" w:hAnsi="Helvetica" w:cs="Helvetica"/>
          <w:b/>
          <w:color w:val="FF0000"/>
        </w:rPr>
        <w:t>Listing</w:t>
      </w:r>
      <w:r w:rsidR="009C3390">
        <w:rPr>
          <w:rFonts w:ascii="Helvetica" w:eastAsia="Times New Roman" w:hAnsi="Helvetica" w:cs="Helvetica"/>
          <w:b/>
          <w:color w:val="FF0000"/>
        </w:rPr>
        <w:t xml:space="preserve"> Requirements</w:t>
      </w:r>
    </w:p>
    <w:p w14:paraId="7E822273" w14:textId="77777777" w:rsidR="00CE7252" w:rsidRDefault="00CE7252" w:rsidP="00CE7252">
      <w:pPr>
        <w:rPr>
          <w:b/>
        </w:rPr>
      </w:pPr>
    </w:p>
    <w:p w14:paraId="61709B5F" w14:textId="77777777" w:rsidR="00CE7252" w:rsidRPr="00CE7252" w:rsidRDefault="00CE7252" w:rsidP="00CE7252">
      <w:pPr>
        <w:rPr>
          <w:b/>
        </w:rPr>
      </w:pPr>
      <w:r w:rsidRPr="00CE7252">
        <w:rPr>
          <w:b/>
        </w:rPr>
        <w:t>HKEX Listing Rules Not Applicable to SPACs</w:t>
      </w:r>
    </w:p>
    <w:p w14:paraId="3805869F" w14:textId="77777777" w:rsidR="00CE7252" w:rsidRPr="00EE59CD" w:rsidRDefault="00CE7252" w:rsidP="00CE7252">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C</w:t>
      </w:r>
      <w:r w:rsidRPr="00EE59CD">
        <w:rPr>
          <w:rFonts w:ascii="Helvetica" w:eastAsia="Times New Roman" w:hAnsi="Helvetica" w:cs="Helvetica"/>
        </w:rPr>
        <w:t>ertain Listing Rules will not apply to SPACs, including Listing Rule 8.05 (financial eligibility and track record requirements for listing), Listing Rule 8.05C/14.82 (the prohibition on listing cash companies), Listing Rule 6.01(3)/13.24 (the requirement for sufficient operations and assets) and Listing Rules 14.89-14.90 (the prohibition on a fundamental change in principal business activities for one year post-listing). The requirement to appoint a sponsor would be shortened for SPACs to at least one month before submission of the listing application</w:t>
      </w:r>
      <w:r>
        <w:rPr>
          <w:rFonts w:ascii="Helvetica" w:eastAsia="Times New Roman" w:hAnsi="Helvetica" w:cs="Helvetica"/>
        </w:rPr>
        <w:t>.</w:t>
      </w:r>
      <w:r w:rsidRPr="00EE59CD">
        <w:rPr>
          <w:rFonts w:ascii="Helvetica" w:eastAsia="Times New Roman" w:hAnsi="Helvetica" w:cs="Helvetica"/>
        </w:rPr>
        <w:t xml:space="preserve"> </w:t>
      </w:r>
    </w:p>
    <w:p w14:paraId="470A45F2" w14:textId="77777777" w:rsidR="008F1BFF" w:rsidRPr="008F1BFF" w:rsidRDefault="008F1BFF" w:rsidP="008F1BFF">
      <w:pPr>
        <w:shd w:val="clear" w:color="auto" w:fill="FFFFFF"/>
        <w:tabs>
          <w:tab w:val="left" w:pos="851"/>
        </w:tabs>
        <w:spacing w:before="139" w:line="209" w:lineRule="exact"/>
        <w:jc w:val="both"/>
        <w:rPr>
          <w:rFonts w:ascii="Helvetica" w:eastAsia="Times New Roman" w:hAnsi="Helvetica" w:cs="Helvetica"/>
          <w:b/>
        </w:rPr>
      </w:pPr>
      <w:r w:rsidRPr="008F1BFF">
        <w:rPr>
          <w:rFonts w:ascii="Helvetica" w:eastAsia="Times New Roman" w:hAnsi="Helvetica" w:cs="Helvetica"/>
          <w:b/>
        </w:rPr>
        <w:t xml:space="preserve">SPAC </w:t>
      </w:r>
      <w:r w:rsidR="00473D9C">
        <w:rPr>
          <w:rFonts w:ascii="Helvetica" w:eastAsia="Times New Roman" w:hAnsi="Helvetica" w:cs="Helvetica"/>
          <w:b/>
        </w:rPr>
        <w:t xml:space="preserve">IPO </w:t>
      </w:r>
      <w:r w:rsidRPr="008F1BFF">
        <w:rPr>
          <w:rFonts w:ascii="Helvetica" w:eastAsia="Times New Roman" w:hAnsi="Helvetica" w:cs="Helvetica"/>
          <w:b/>
        </w:rPr>
        <w:t>Fund Raising Size</w:t>
      </w:r>
    </w:p>
    <w:p w14:paraId="702A39FD" w14:textId="77777777" w:rsidR="00AE312F" w:rsidRDefault="00AE312F" w:rsidP="004C0492">
      <w:pPr>
        <w:shd w:val="clear" w:color="auto" w:fill="FFFFFF"/>
        <w:tabs>
          <w:tab w:val="left" w:pos="851"/>
        </w:tabs>
        <w:spacing w:before="139" w:line="209" w:lineRule="exact"/>
        <w:jc w:val="both"/>
        <w:rPr>
          <w:rFonts w:ascii="Helvetica" w:eastAsia="Times New Roman" w:hAnsi="Helvetica" w:cs="Helvetica"/>
        </w:rPr>
      </w:pPr>
      <w:r w:rsidRPr="00EE59CD">
        <w:rPr>
          <w:rFonts w:ascii="Helvetica" w:eastAsia="Times New Roman" w:hAnsi="Helvetica" w:cs="Helvetica"/>
        </w:rPr>
        <w:t>SPACs will be required to raise IPO funds of at least HK$1 billion under</w:t>
      </w:r>
      <w:r w:rsidR="009A3EB9">
        <w:rPr>
          <w:rFonts w:ascii="Helvetica" w:eastAsia="Times New Roman" w:hAnsi="Helvetica" w:cs="Helvetica"/>
        </w:rPr>
        <w:t xml:space="preserve"> Listing Rule 18B.08</w:t>
      </w:r>
      <w:r w:rsidRPr="00EE59CD">
        <w:rPr>
          <w:rFonts w:ascii="Helvetica" w:eastAsia="Times New Roman" w:hAnsi="Helvetica" w:cs="Helvetica"/>
        </w:rPr>
        <w:t xml:space="preserve"> which must be held in a ring-fenced escrow account in Hong Kong operated by a trustee or custodian whose qualifications are consistent with the requirements of Chapter 4 of the SFC’s Code </w:t>
      </w:r>
      <w:r w:rsidR="00C7737D">
        <w:rPr>
          <w:rFonts w:ascii="Helvetica" w:eastAsia="Times New Roman" w:hAnsi="Helvetica" w:cs="Helvetica"/>
        </w:rPr>
        <w:t>on Unit Trusts and Mutual Funds.</w:t>
      </w:r>
    </w:p>
    <w:p w14:paraId="1EFFA063" w14:textId="77777777" w:rsidR="00BB3C1D" w:rsidRDefault="00F636A3" w:rsidP="00BB3C1D">
      <w:pPr>
        <w:shd w:val="clear" w:color="auto" w:fill="FFFFFF"/>
        <w:tabs>
          <w:tab w:val="left" w:pos="851"/>
        </w:tabs>
        <w:spacing w:before="139" w:line="209" w:lineRule="exact"/>
        <w:jc w:val="both"/>
        <w:rPr>
          <w:rFonts w:ascii="Helvetica" w:eastAsia="Times New Roman" w:hAnsi="Helvetica" w:cs="Helvetica"/>
          <w:b/>
        </w:rPr>
      </w:pPr>
      <w:r>
        <w:rPr>
          <w:rFonts w:ascii="Helvetica" w:eastAsia="Times New Roman" w:hAnsi="Helvetica" w:cs="Helvetica"/>
          <w:b/>
        </w:rPr>
        <w:t xml:space="preserve">Minimum </w:t>
      </w:r>
      <w:r w:rsidR="00BB3C1D" w:rsidRPr="00BB3C1D">
        <w:rPr>
          <w:rFonts w:ascii="Helvetica" w:eastAsia="Times New Roman" w:hAnsi="Helvetica" w:cs="Helvetica"/>
          <w:b/>
        </w:rPr>
        <w:t>SPAC Share Price</w:t>
      </w:r>
      <w:r>
        <w:rPr>
          <w:rFonts w:ascii="Helvetica" w:eastAsia="Times New Roman" w:hAnsi="Helvetica" w:cs="Helvetica"/>
          <w:b/>
        </w:rPr>
        <w:t xml:space="preserve"> and Subscription Amount</w:t>
      </w:r>
    </w:p>
    <w:p w14:paraId="4FB8CB02" w14:textId="77777777" w:rsidR="00F636A3" w:rsidRDefault="00F636A3" w:rsidP="00F636A3">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 xml:space="preserve">The minimum subscription price for </w:t>
      </w:r>
      <w:r w:rsidR="00BB3C1D">
        <w:rPr>
          <w:rFonts w:ascii="Helvetica" w:eastAsia="Times New Roman" w:hAnsi="Helvetica" w:cs="Helvetica"/>
        </w:rPr>
        <w:t>SPAC</w:t>
      </w:r>
      <w:r>
        <w:rPr>
          <w:rFonts w:ascii="Helvetica" w:eastAsia="Times New Roman" w:hAnsi="Helvetica" w:cs="Helvetica"/>
        </w:rPr>
        <w:t xml:space="preserve"> Shares </w:t>
      </w:r>
      <w:r w:rsidR="009C3390">
        <w:rPr>
          <w:rFonts w:ascii="Helvetica" w:eastAsia="Times New Roman" w:hAnsi="Helvetica" w:cs="Helvetica"/>
        </w:rPr>
        <w:t xml:space="preserve">will be </w:t>
      </w:r>
      <w:r>
        <w:rPr>
          <w:rFonts w:ascii="Helvetica" w:eastAsia="Times New Roman" w:hAnsi="Helvetica" w:cs="Helvetica"/>
        </w:rPr>
        <w:t xml:space="preserve">HK$10 (under new Listing Rule 18B.07) and the minimum board lot size and subscription amount will be </w:t>
      </w:r>
      <w:r w:rsidRPr="00EE59CD">
        <w:rPr>
          <w:rFonts w:ascii="Helvetica" w:eastAsia="Times New Roman" w:hAnsi="Helvetica" w:cs="Helvetica"/>
        </w:rPr>
        <w:t xml:space="preserve">HK$1 </w:t>
      </w:r>
      <w:r>
        <w:rPr>
          <w:rFonts w:ascii="Helvetica" w:eastAsia="Times New Roman" w:hAnsi="Helvetica" w:cs="Helvetica"/>
        </w:rPr>
        <w:t>m</w:t>
      </w:r>
      <w:r w:rsidRPr="00EE59CD">
        <w:rPr>
          <w:rFonts w:ascii="Helvetica" w:eastAsia="Times New Roman" w:hAnsi="Helvetica" w:cs="Helvetica"/>
        </w:rPr>
        <w:t>illion</w:t>
      </w:r>
      <w:r>
        <w:rPr>
          <w:rFonts w:ascii="Helvetica" w:eastAsia="Times New Roman" w:hAnsi="Helvetica" w:cs="Helvetica"/>
        </w:rPr>
        <w:t>.</w:t>
      </w:r>
    </w:p>
    <w:p w14:paraId="7F50EBC8" w14:textId="77777777" w:rsidR="00F636A3" w:rsidRPr="00F636A3" w:rsidRDefault="00F636A3" w:rsidP="00C7737D">
      <w:pPr>
        <w:shd w:val="clear" w:color="auto" w:fill="FFFFFF"/>
        <w:tabs>
          <w:tab w:val="left" w:pos="851"/>
        </w:tabs>
        <w:spacing w:before="139" w:line="209" w:lineRule="exact"/>
        <w:jc w:val="both"/>
        <w:rPr>
          <w:rFonts w:ascii="Helvetica" w:eastAsia="Times New Roman" w:hAnsi="Helvetica" w:cs="Helvetica"/>
          <w:b/>
        </w:rPr>
      </w:pPr>
      <w:r w:rsidRPr="00F636A3">
        <w:rPr>
          <w:rFonts w:ascii="Helvetica" w:eastAsia="Times New Roman" w:hAnsi="Helvetica" w:cs="Helvetica"/>
          <w:b/>
        </w:rPr>
        <w:t>Restriction to Professional Investors</w:t>
      </w:r>
    </w:p>
    <w:p w14:paraId="5E72529D" w14:textId="77777777" w:rsidR="004C0492" w:rsidRDefault="004C0492" w:rsidP="00C7737D">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Prior to the De-SPAC Transaction, o</w:t>
      </w:r>
      <w:r w:rsidR="00AE312F" w:rsidRPr="00EE59CD">
        <w:rPr>
          <w:rFonts w:ascii="Helvetica" w:eastAsia="Times New Roman" w:hAnsi="Helvetica" w:cs="Helvetica"/>
        </w:rPr>
        <w:t xml:space="preserve">nly professional investors will be allowed to subscribe for and trade SPAC shares. Retail investors will be permitted to subscribe for and trade the </w:t>
      </w:r>
      <w:r w:rsidR="00C7737D">
        <w:rPr>
          <w:rFonts w:ascii="Helvetica" w:eastAsia="Times New Roman" w:hAnsi="Helvetica" w:cs="Helvetica"/>
        </w:rPr>
        <w:t>shares of the Successor Company.</w:t>
      </w:r>
    </w:p>
    <w:p w14:paraId="62D82DB8" w14:textId="77777777" w:rsidR="004C0492" w:rsidRPr="004C0492" w:rsidRDefault="004C0492" w:rsidP="00C7737D">
      <w:pPr>
        <w:shd w:val="clear" w:color="auto" w:fill="FFFFFF"/>
        <w:tabs>
          <w:tab w:val="left" w:pos="851"/>
        </w:tabs>
        <w:spacing w:before="139" w:line="209" w:lineRule="exact"/>
        <w:jc w:val="both"/>
        <w:rPr>
          <w:rFonts w:ascii="Helvetica" w:eastAsia="Times New Roman" w:hAnsi="Helvetica" w:cs="Helvetica"/>
          <w:b/>
        </w:rPr>
      </w:pPr>
      <w:r w:rsidRPr="004C0492">
        <w:rPr>
          <w:rFonts w:ascii="Helvetica" w:eastAsia="Times New Roman" w:hAnsi="Helvetica" w:cs="Helvetica"/>
          <w:b/>
        </w:rPr>
        <w:t>Open Market Requirements</w:t>
      </w:r>
    </w:p>
    <w:p w14:paraId="1A5EE023" w14:textId="59B58499" w:rsidR="00AE312F" w:rsidRDefault="00E74E25" w:rsidP="00E74E25">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lastRenderedPageBreak/>
        <w:t>A</w:t>
      </w:r>
      <w:r w:rsidR="00AE312F" w:rsidRPr="00EE59CD">
        <w:rPr>
          <w:rFonts w:ascii="Helvetica" w:eastAsia="Times New Roman" w:hAnsi="Helvetica" w:cs="Helvetica"/>
        </w:rPr>
        <w:t xml:space="preserve">t listing, a SPAC will be required to have at least 75 professional investors, of whom at least 20 </w:t>
      </w:r>
      <w:r>
        <w:rPr>
          <w:rFonts w:ascii="Helvetica" w:eastAsia="Times New Roman" w:hAnsi="Helvetica" w:cs="Helvetica"/>
        </w:rPr>
        <w:t xml:space="preserve">(reduced from the originally proposed 30) </w:t>
      </w:r>
      <w:r w:rsidR="00AE312F" w:rsidRPr="00EE59CD">
        <w:rPr>
          <w:rFonts w:ascii="Helvetica" w:eastAsia="Times New Roman" w:hAnsi="Helvetica" w:cs="Helvetica"/>
        </w:rPr>
        <w:t>must be Institutional Professional Investors who hold 75% of the shares to be listed (modifying the general Listing Rule requirement for 300 shareholders at listing)</w:t>
      </w:r>
      <w:r>
        <w:rPr>
          <w:rFonts w:ascii="Helvetica" w:eastAsia="Times New Roman" w:hAnsi="Helvetica" w:cs="Helvetica"/>
        </w:rPr>
        <w:t xml:space="preserve">. </w:t>
      </w:r>
      <w:r w:rsidRPr="00E74E25">
        <w:rPr>
          <w:rFonts w:ascii="Helvetica" w:eastAsia="Times New Roman" w:hAnsi="Helvetica" w:cs="Helvetica"/>
        </w:rPr>
        <w:t xml:space="preserve">Institutional Professional Investors are </w:t>
      </w:r>
      <w:r w:rsidR="00663CAE">
        <w:rPr>
          <w:rFonts w:ascii="Helvetica" w:eastAsia="Times New Roman" w:hAnsi="Helvetica" w:cs="Helvetica"/>
        </w:rPr>
        <w:t>investor</w:t>
      </w:r>
      <w:r w:rsidRPr="00E74E25">
        <w:rPr>
          <w:rFonts w:ascii="Helvetica" w:eastAsia="Times New Roman" w:hAnsi="Helvetica" w:cs="Helvetica"/>
        </w:rPr>
        <w:t xml:space="preserve">s within paragraphs (a) to (i) of the </w:t>
      </w:r>
      <w:r w:rsidR="009C3390">
        <w:rPr>
          <w:rFonts w:ascii="Helvetica" w:eastAsia="Times New Roman" w:hAnsi="Helvetica" w:cs="Helvetica"/>
        </w:rPr>
        <w:t>definition of “professional inv</w:t>
      </w:r>
      <w:r w:rsidRPr="00E74E25">
        <w:rPr>
          <w:rFonts w:ascii="Helvetica" w:eastAsia="Times New Roman" w:hAnsi="Helvetica" w:cs="Helvetica"/>
        </w:rPr>
        <w:t>e</w:t>
      </w:r>
      <w:r w:rsidR="009C3390">
        <w:rPr>
          <w:rFonts w:ascii="Helvetica" w:eastAsia="Times New Roman" w:hAnsi="Helvetica" w:cs="Helvetica"/>
        </w:rPr>
        <w:t>s</w:t>
      </w:r>
      <w:r w:rsidRPr="00E74E25">
        <w:rPr>
          <w:rFonts w:ascii="Helvetica" w:eastAsia="Times New Roman" w:hAnsi="Helvetica" w:cs="Helvetica"/>
        </w:rPr>
        <w:t>tors” in section 1 of Part 1</w:t>
      </w:r>
      <w:r w:rsidR="00663CAE">
        <w:rPr>
          <w:rFonts w:ascii="Helvetica" w:eastAsia="Times New Roman" w:hAnsi="Helvetica" w:cs="Helvetica"/>
        </w:rPr>
        <w:t xml:space="preserve"> of Schedule 1 to the SFO. They</w:t>
      </w:r>
      <w:r w:rsidRPr="00E74E25">
        <w:rPr>
          <w:rFonts w:ascii="Helvetica" w:eastAsia="Times New Roman" w:hAnsi="Helvetica" w:cs="Helvetica"/>
        </w:rPr>
        <w:t xml:space="preserve"> do not include high net worth professional investors within the categories set out in the Securities and Futures (Professional Investor) Rules</w:t>
      </w:r>
      <w:r>
        <w:rPr>
          <w:rFonts w:ascii="Helvetica" w:eastAsia="Times New Roman" w:hAnsi="Helvetica" w:cs="Helvetica"/>
        </w:rPr>
        <w:t xml:space="preserve"> who will be defined as </w:t>
      </w:r>
      <w:r w:rsidR="009A3EB9">
        <w:rPr>
          <w:rFonts w:ascii="Helvetica" w:eastAsia="Times New Roman" w:hAnsi="Helvetica" w:cs="Helvetica"/>
        </w:rPr>
        <w:t>“</w:t>
      </w:r>
      <w:r>
        <w:rPr>
          <w:rFonts w:ascii="Helvetica" w:eastAsia="Times New Roman" w:hAnsi="Helvetica" w:cs="Helvetica"/>
        </w:rPr>
        <w:t>Non-I</w:t>
      </w:r>
      <w:r w:rsidR="009A3EB9">
        <w:rPr>
          <w:rFonts w:ascii="Helvetica" w:eastAsia="Times New Roman" w:hAnsi="Helvetica" w:cs="Helvetica"/>
        </w:rPr>
        <w:t>nstitutional Professional Investors” in new Listing Rule 18B.01.</w:t>
      </w:r>
      <w:r w:rsidR="00AE312F" w:rsidRPr="00EE59CD">
        <w:rPr>
          <w:rFonts w:ascii="Helvetica" w:eastAsia="Times New Roman" w:hAnsi="Helvetica" w:cs="Helvetica"/>
        </w:rPr>
        <w:t xml:space="preserve"> </w:t>
      </w:r>
    </w:p>
    <w:p w14:paraId="44C94E98" w14:textId="77777777" w:rsidR="00F636A3" w:rsidRPr="00E74E25" w:rsidRDefault="00F636A3" w:rsidP="00F636A3">
      <w:pPr>
        <w:shd w:val="clear" w:color="auto" w:fill="FFFFFF"/>
        <w:tabs>
          <w:tab w:val="left" w:pos="851"/>
        </w:tabs>
        <w:spacing w:before="139" w:line="209" w:lineRule="exact"/>
        <w:jc w:val="both"/>
        <w:rPr>
          <w:rFonts w:ascii="Helvetica" w:eastAsia="Times New Roman" w:hAnsi="Helvetica" w:cs="Helvetica"/>
          <w:b/>
        </w:rPr>
      </w:pPr>
      <w:r w:rsidRPr="00E74E25">
        <w:rPr>
          <w:rFonts w:ascii="Helvetica" w:eastAsia="Times New Roman" w:hAnsi="Helvetica" w:cs="Helvetica"/>
          <w:b/>
        </w:rPr>
        <w:t>Trading Arrangements</w:t>
      </w:r>
    </w:p>
    <w:p w14:paraId="79D8F9AD" w14:textId="77777777" w:rsidR="00F636A3" w:rsidRPr="00E74E25" w:rsidRDefault="00F636A3" w:rsidP="00F636A3">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 xml:space="preserve">SPAC Shares and SPAC Warrants will be listed and traded separately from the date of the SPAC’s initial listing until the De-SPAC Transaction. To mitigate the risks of volatility in trading, the HKEX will allow both manual trades and automatching of orders subject to the HKEX’s </w:t>
      </w:r>
      <w:r w:rsidR="009C3390">
        <w:rPr>
          <w:rFonts w:ascii="Helvetica" w:eastAsia="Times New Roman" w:hAnsi="Helvetica" w:cs="Helvetica"/>
        </w:rPr>
        <w:t xml:space="preserve">volatility control mechanism </w:t>
      </w:r>
      <w:r>
        <w:rPr>
          <w:rFonts w:ascii="Helvetica" w:eastAsia="Times New Roman" w:hAnsi="Helvetica" w:cs="Helvetica"/>
        </w:rPr>
        <w:t>with different price deviation percentage parameters set for SPAC Shares and SPAC Warrants.</w:t>
      </w:r>
    </w:p>
    <w:p w14:paraId="13EF6799" w14:textId="77777777" w:rsidR="009A3EB9" w:rsidRPr="009A3EB9" w:rsidRDefault="009A3EB9" w:rsidP="00E74E25">
      <w:pPr>
        <w:shd w:val="clear" w:color="auto" w:fill="FFFFFF"/>
        <w:tabs>
          <w:tab w:val="left" w:pos="851"/>
        </w:tabs>
        <w:spacing w:before="139" w:line="209" w:lineRule="exact"/>
        <w:jc w:val="both"/>
        <w:rPr>
          <w:rFonts w:ascii="Helvetica" w:eastAsia="Times New Roman" w:hAnsi="Helvetica" w:cs="Helvetica"/>
          <w:b/>
          <w:color w:val="FF0000"/>
        </w:rPr>
      </w:pPr>
      <w:r>
        <w:rPr>
          <w:rFonts w:ascii="Helvetica" w:eastAsia="Times New Roman" w:hAnsi="Helvetica" w:cs="Helvetica"/>
          <w:b/>
          <w:color w:val="FF0000"/>
        </w:rPr>
        <w:t>SPAC Promoters and Directors</w:t>
      </w:r>
    </w:p>
    <w:p w14:paraId="626614E6" w14:textId="77777777" w:rsidR="009A3EB9" w:rsidRPr="009A3EB9" w:rsidRDefault="0080529E" w:rsidP="009A3EB9">
      <w:pPr>
        <w:shd w:val="clear" w:color="auto" w:fill="FFFFFF"/>
        <w:tabs>
          <w:tab w:val="left" w:pos="851"/>
        </w:tabs>
        <w:spacing w:before="139" w:line="209" w:lineRule="exact"/>
        <w:jc w:val="both"/>
        <w:rPr>
          <w:rFonts w:ascii="Helvetica" w:eastAsia="Times New Roman" w:hAnsi="Helvetica" w:cs="Helvetica"/>
          <w:b/>
        </w:rPr>
      </w:pPr>
      <w:r>
        <w:rPr>
          <w:rFonts w:ascii="Helvetica" w:eastAsia="Times New Roman" w:hAnsi="Helvetica" w:cs="Helvetica"/>
          <w:b/>
        </w:rPr>
        <w:t xml:space="preserve">Eligibility of </w:t>
      </w:r>
      <w:r w:rsidR="009A3EB9">
        <w:rPr>
          <w:rFonts w:ascii="Helvetica" w:eastAsia="Times New Roman" w:hAnsi="Helvetica" w:cs="Helvetica"/>
          <w:b/>
        </w:rPr>
        <w:t>SPAC Promoters</w:t>
      </w:r>
    </w:p>
    <w:p w14:paraId="013C9DDD" w14:textId="77777777" w:rsidR="00AE312F" w:rsidRPr="00EE59CD" w:rsidRDefault="001A6747" w:rsidP="009A3EB9">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T</w:t>
      </w:r>
      <w:r w:rsidR="00AE312F" w:rsidRPr="00EE59CD">
        <w:rPr>
          <w:rFonts w:ascii="Helvetica" w:eastAsia="Times New Roman" w:hAnsi="Helvetica" w:cs="Helvetica"/>
        </w:rPr>
        <w:t>he HK</w:t>
      </w:r>
      <w:r>
        <w:rPr>
          <w:rFonts w:ascii="Helvetica" w:eastAsia="Times New Roman" w:hAnsi="Helvetica" w:cs="Helvetica"/>
        </w:rPr>
        <w:t>EX</w:t>
      </w:r>
      <w:r w:rsidR="00AE312F" w:rsidRPr="00EE59CD">
        <w:rPr>
          <w:rFonts w:ascii="Helvetica" w:eastAsia="Times New Roman" w:hAnsi="Helvetica" w:cs="Helvetica"/>
        </w:rPr>
        <w:t xml:space="preserve"> will need to be satisfied as to the character, experience and integrity of SPAC Promoters (i.e. persons who establish a SPAC and/or beneficially own shares issued to them by the SPAC) and that SPAC Promoters are capable of meeting a standard of competence commensurate with their position</w:t>
      </w:r>
      <w:r>
        <w:rPr>
          <w:rFonts w:ascii="Helvetica" w:eastAsia="Times New Roman" w:hAnsi="Helvetica" w:cs="Helvetica"/>
        </w:rPr>
        <w:t>.</w:t>
      </w:r>
      <w:r w:rsidR="0080529E">
        <w:rPr>
          <w:rFonts w:ascii="Helvetica" w:eastAsia="Times New Roman" w:hAnsi="Helvetica" w:cs="Helvetica"/>
        </w:rPr>
        <w:t xml:space="preserve"> The proposed new </w:t>
      </w:r>
      <w:r w:rsidR="000815BE">
        <w:rPr>
          <w:rFonts w:ascii="Helvetica" w:eastAsia="Times New Roman" w:hAnsi="Helvetica" w:cs="Helvetica"/>
        </w:rPr>
        <w:t xml:space="preserve">SPAC Guidance Letter </w:t>
      </w:r>
      <w:r w:rsidR="00663CAE">
        <w:rPr>
          <w:rFonts w:ascii="Helvetica" w:eastAsia="Times New Roman" w:hAnsi="Helvetica" w:cs="Helvetica"/>
        </w:rPr>
        <w:t xml:space="preserve">lists </w:t>
      </w:r>
      <w:r w:rsidR="0080529E">
        <w:rPr>
          <w:rFonts w:ascii="Helvetica" w:eastAsia="Times New Roman" w:hAnsi="Helvetica" w:cs="Helvetica"/>
        </w:rPr>
        <w:t xml:space="preserve">the information that SPAC </w:t>
      </w:r>
      <w:r w:rsidR="0080529E" w:rsidRPr="00EE59CD">
        <w:rPr>
          <w:rFonts w:ascii="Helvetica" w:eastAsia="Times New Roman" w:hAnsi="Helvetica" w:cs="Helvetica"/>
        </w:rPr>
        <w:t>Promoters</w:t>
      </w:r>
      <w:r w:rsidR="0080529E">
        <w:rPr>
          <w:rFonts w:ascii="Helvetica" w:eastAsia="Times New Roman" w:hAnsi="Helvetica" w:cs="Helvetica"/>
        </w:rPr>
        <w:t xml:space="preserve"> will need to provide to the HKEX for it to determine whether the SPAC Promoter has the </w:t>
      </w:r>
      <w:r w:rsidR="00663CAE">
        <w:rPr>
          <w:rFonts w:ascii="Helvetica" w:eastAsia="Times New Roman" w:hAnsi="Helvetica" w:cs="Helvetica"/>
        </w:rPr>
        <w:t>character and</w:t>
      </w:r>
      <w:r w:rsidR="0080529E" w:rsidRPr="00EE59CD">
        <w:rPr>
          <w:rFonts w:ascii="Helvetica" w:eastAsia="Times New Roman" w:hAnsi="Helvetica" w:cs="Helvetica"/>
        </w:rPr>
        <w:t xml:space="preserve"> experience </w:t>
      </w:r>
      <w:r w:rsidR="0080529E">
        <w:rPr>
          <w:rFonts w:ascii="Helvetica" w:eastAsia="Times New Roman" w:hAnsi="Helvetica" w:cs="Helvetica"/>
        </w:rPr>
        <w:t>required.</w:t>
      </w:r>
    </w:p>
    <w:p w14:paraId="0D80E6C1" w14:textId="77777777" w:rsidR="0080529E" w:rsidRPr="00663CAE" w:rsidRDefault="0080529E" w:rsidP="001A6747">
      <w:pPr>
        <w:shd w:val="clear" w:color="auto" w:fill="FFFFFF"/>
        <w:tabs>
          <w:tab w:val="left" w:pos="851"/>
        </w:tabs>
        <w:spacing w:before="139" w:line="209" w:lineRule="exact"/>
        <w:jc w:val="both"/>
        <w:rPr>
          <w:rFonts w:ascii="Helvetica" w:eastAsia="Times New Roman" w:hAnsi="Helvetica" w:cs="Helvetica"/>
          <w:b/>
        </w:rPr>
      </w:pPr>
      <w:r w:rsidRPr="00663CAE">
        <w:rPr>
          <w:rFonts w:ascii="Helvetica" w:eastAsia="Times New Roman" w:hAnsi="Helvetica" w:cs="Helvetica"/>
          <w:b/>
        </w:rPr>
        <w:t>SFC Licensing Requirement</w:t>
      </w:r>
    </w:p>
    <w:p w14:paraId="252127D3" w14:textId="77777777" w:rsidR="00AE312F" w:rsidRPr="00EE59CD" w:rsidRDefault="001A6747" w:rsidP="001A6747">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A</w:t>
      </w:r>
      <w:r w:rsidR="00AE312F" w:rsidRPr="00EE59CD">
        <w:rPr>
          <w:rFonts w:ascii="Helvetica" w:eastAsia="Times New Roman" w:hAnsi="Helvetica" w:cs="Helvetica"/>
        </w:rPr>
        <w:t xml:space="preserve">t listing and on an ongoing basis, at least </w:t>
      </w:r>
      <w:r w:rsidR="00AE312F" w:rsidRPr="001A6747">
        <w:rPr>
          <w:rFonts w:ascii="Helvetica" w:eastAsia="Times New Roman" w:hAnsi="Helvetica" w:cs="Helvetica"/>
          <w:i/>
        </w:rPr>
        <w:t>one</w:t>
      </w:r>
      <w:r w:rsidR="00AE312F" w:rsidRPr="00EE59CD">
        <w:rPr>
          <w:rFonts w:ascii="Helvetica" w:eastAsia="Times New Roman" w:hAnsi="Helvetica" w:cs="Helvetica"/>
        </w:rPr>
        <w:t xml:space="preserve"> SPAC Promoter must be: </w:t>
      </w:r>
    </w:p>
    <w:p w14:paraId="040180FE" w14:textId="77777777" w:rsidR="00AE312F" w:rsidRPr="00EE59CD" w:rsidRDefault="00663CAE" w:rsidP="001A6747">
      <w:pPr>
        <w:numPr>
          <w:ilvl w:val="0"/>
          <w:numId w:val="3"/>
        </w:numPr>
        <w:shd w:val="clear" w:color="auto" w:fill="FFFFFF"/>
        <w:tabs>
          <w:tab w:val="left" w:pos="851"/>
        </w:tabs>
        <w:spacing w:before="139" w:line="209" w:lineRule="exact"/>
        <w:ind w:left="851" w:hanging="425"/>
        <w:jc w:val="both"/>
        <w:rPr>
          <w:rFonts w:ascii="Helvetica" w:eastAsia="Times New Roman" w:hAnsi="Helvetica" w:cs="Helvetica"/>
        </w:rPr>
      </w:pPr>
      <w:r>
        <w:rPr>
          <w:rFonts w:ascii="Helvetica" w:eastAsia="Times New Roman" w:hAnsi="Helvetica" w:cs="Helvetica"/>
        </w:rPr>
        <w:t xml:space="preserve">licensed for </w:t>
      </w:r>
      <w:r w:rsidRPr="00EE59CD">
        <w:rPr>
          <w:rFonts w:ascii="Helvetica" w:eastAsia="Times New Roman" w:hAnsi="Helvetica" w:cs="Helvetica"/>
        </w:rPr>
        <w:t xml:space="preserve">regulated activity </w:t>
      </w:r>
      <w:r>
        <w:rPr>
          <w:rFonts w:ascii="Helvetica" w:eastAsia="Times New Roman" w:hAnsi="Helvetica" w:cs="Helvetica"/>
        </w:rPr>
        <w:t>Type 6</w:t>
      </w:r>
      <w:r w:rsidR="00AE312F" w:rsidRPr="00EE59CD">
        <w:rPr>
          <w:rFonts w:ascii="Helvetica" w:eastAsia="Times New Roman" w:hAnsi="Helvetica" w:cs="Helvetica"/>
        </w:rPr>
        <w:t xml:space="preserve"> (advising on corporate finance)</w:t>
      </w:r>
      <w:r>
        <w:rPr>
          <w:rFonts w:ascii="Helvetica" w:eastAsia="Times New Roman" w:hAnsi="Helvetica" w:cs="Helvetica"/>
        </w:rPr>
        <w:t xml:space="preserve"> and/or Type 9</w:t>
      </w:r>
      <w:r w:rsidR="00AE312F" w:rsidRPr="00EE59CD">
        <w:rPr>
          <w:rFonts w:ascii="Helvetica" w:eastAsia="Times New Roman" w:hAnsi="Helvetica" w:cs="Helvetica"/>
        </w:rPr>
        <w:t xml:space="preserve"> (asset management) under the S</w:t>
      </w:r>
      <w:r w:rsidR="001A6747">
        <w:rPr>
          <w:rFonts w:ascii="Helvetica" w:eastAsia="Times New Roman" w:hAnsi="Helvetica" w:cs="Helvetica"/>
        </w:rPr>
        <w:t xml:space="preserve">ecurities and </w:t>
      </w:r>
      <w:r w:rsidR="00AE312F" w:rsidRPr="00EE59CD">
        <w:rPr>
          <w:rFonts w:ascii="Helvetica" w:eastAsia="Times New Roman" w:hAnsi="Helvetica" w:cs="Helvetica"/>
        </w:rPr>
        <w:t>F</w:t>
      </w:r>
      <w:r w:rsidR="001A6747">
        <w:rPr>
          <w:rFonts w:ascii="Helvetica" w:eastAsia="Times New Roman" w:hAnsi="Helvetica" w:cs="Helvetica"/>
        </w:rPr>
        <w:t xml:space="preserve">utures </w:t>
      </w:r>
      <w:r w:rsidR="00AE312F" w:rsidRPr="00EE59CD">
        <w:rPr>
          <w:rFonts w:ascii="Helvetica" w:eastAsia="Times New Roman" w:hAnsi="Helvetica" w:cs="Helvetica"/>
        </w:rPr>
        <w:t>O</w:t>
      </w:r>
      <w:r w:rsidR="001A6747">
        <w:rPr>
          <w:rFonts w:ascii="Helvetica" w:eastAsia="Times New Roman" w:hAnsi="Helvetica" w:cs="Helvetica"/>
        </w:rPr>
        <w:t xml:space="preserve">rdinance (the </w:t>
      </w:r>
      <w:r w:rsidR="001A6747" w:rsidRPr="001A6747">
        <w:rPr>
          <w:rFonts w:ascii="Helvetica" w:eastAsia="Times New Roman" w:hAnsi="Helvetica" w:cs="Helvetica"/>
          <w:b/>
        </w:rPr>
        <w:t>SFO</w:t>
      </w:r>
      <w:r w:rsidR="001A6747">
        <w:rPr>
          <w:rFonts w:ascii="Helvetica" w:eastAsia="Times New Roman" w:hAnsi="Helvetica" w:cs="Helvetica"/>
        </w:rPr>
        <w:t>)</w:t>
      </w:r>
      <w:r w:rsidR="00AE312F" w:rsidRPr="00EE59CD">
        <w:rPr>
          <w:rFonts w:ascii="Helvetica" w:eastAsia="Times New Roman" w:hAnsi="Helvetica" w:cs="Helvetica"/>
        </w:rPr>
        <w:t xml:space="preserve">; and </w:t>
      </w:r>
    </w:p>
    <w:p w14:paraId="48BE3600" w14:textId="77777777" w:rsidR="00AE312F" w:rsidRDefault="00AE312F" w:rsidP="001A6747">
      <w:pPr>
        <w:numPr>
          <w:ilvl w:val="0"/>
          <w:numId w:val="3"/>
        </w:numPr>
        <w:shd w:val="clear" w:color="auto" w:fill="FFFFFF"/>
        <w:tabs>
          <w:tab w:val="left" w:pos="851"/>
        </w:tabs>
        <w:spacing w:before="139" w:line="209" w:lineRule="exact"/>
        <w:ind w:left="851" w:hanging="425"/>
        <w:jc w:val="both"/>
        <w:rPr>
          <w:rFonts w:ascii="Helvetica" w:eastAsia="Times New Roman" w:hAnsi="Helvetica" w:cs="Helvetica"/>
        </w:rPr>
      </w:pPr>
      <w:r w:rsidRPr="00EE59CD">
        <w:rPr>
          <w:rFonts w:ascii="Helvetica" w:eastAsia="Times New Roman" w:hAnsi="Helvetica" w:cs="Helvetica"/>
        </w:rPr>
        <w:t>the beneficial holder of at least 10% of the Promoter Shares (i.e. unlisted shares of a separate class to SPAC Shares issued by a SPAC exclusively to a SPAC Promoter at nominal consideration</w:t>
      </w:r>
      <w:r w:rsidR="001A6747">
        <w:rPr>
          <w:rFonts w:ascii="Helvetica" w:eastAsia="Times New Roman" w:hAnsi="Helvetica" w:cs="Helvetica"/>
        </w:rPr>
        <w:t>).</w:t>
      </w:r>
    </w:p>
    <w:p w14:paraId="442A7627" w14:textId="77777777" w:rsidR="001A6747" w:rsidRDefault="0080529E" w:rsidP="001A6747">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 xml:space="preserve">The </w:t>
      </w:r>
      <w:r w:rsidRPr="0080529E">
        <w:rPr>
          <w:rFonts w:ascii="Helvetica" w:eastAsia="Times New Roman" w:hAnsi="Helvetica" w:cs="Helvetica"/>
        </w:rPr>
        <w:t>SPAC Guidance Letter</w:t>
      </w:r>
      <w:r>
        <w:rPr>
          <w:rFonts w:ascii="Helvetica" w:eastAsia="Times New Roman" w:hAnsi="Helvetica" w:cs="Helvetica"/>
        </w:rPr>
        <w:t xml:space="preserve"> provides that the SFC will </w:t>
      </w:r>
      <w:r w:rsidR="001A6747">
        <w:rPr>
          <w:rFonts w:ascii="Helvetica" w:eastAsia="Times New Roman" w:hAnsi="Helvetica" w:cs="Helvetica"/>
        </w:rPr>
        <w:t>consider waiving the SFC licensing requirement on a case-by-case basis for SPAC Promoters with an overseas accreditation issued by a regulatory authority the HKEX considers equivalent to an SFC Type 6 or Type 9 licence</w:t>
      </w:r>
      <w:r>
        <w:rPr>
          <w:rFonts w:ascii="Helvetica" w:eastAsia="Times New Roman" w:hAnsi="Helvetica" w:cs="Helvetica"/>
        </w:rPr>
        <w:t xml:space="preserve"> (at paragraph 15 of the </w:t>
      </w:r>
      <w:r w:rsidRPr="0080529E">
        <w:rPr>
          <w:rFonts w:ascii="Helvetica" w:eastAsia="Times New Roman" w:hAnsi="Helvetica" w:cs="Helvetica"/>
        </w:rPr>
        <w:t>SPAC Guidance Letter</w:t>
      </w:r>
      <w:r>
        <w:rPr>
          <w:rFonts w:ascii="Helvetica" w:eastAsia="Times New Roman" w:hAnsi="Helvetica" w:cs="Helvetica"/>
        </w:rPr>
        <w:t>)</w:t>
      </w:r>
      <w:r w:rsidR="001A6747">
        <w:rPr>
          <w:rFonts w:ascii="Helvetica" w:eastAsia="Times New Roman" w:hAnsi="Helvetica" w:cs="Helvetica"/>
        </w:rPr>
        <w:t>.</w:t>
      </w:r>
    </w:p>
    <w:p w14:paraId="2C0397BA" w14:textId="77777777" w:rsidR="001A6747" w:rsidRPr="0080529E" w:rsidRDefault="0080529E" w:rsidP="001A6747">
      <w:pPr>
        <w:shd w:val="clear" w:color="auto" w:fill="FFFFFF"/>
        <w:tabs>
          <w:tab w:val="left" w:pos="851"/>
        </w:tabs>
        <w:spacing w:before="139" w:line="209" w:lineRule="exact"/>
        <w:jc w:val="both"/>
        <w:rPr>
          <w:rFonts w:ascii="Helvetica" w:eastAsia="Times New Roman" w:hAnsi="Helvetica" w:cs="Helvetica"/>
          <w:b/>
        </w:rPr>
      </w:pPr>
      <w:r w:rsidRPr="0080529E">
        <w:rPr>
          <w:rFonts w:ascii="Helvetica" w:eastAsia="Times New Roman" w:hAnsi="Helvetica" w:cs="Helvetica"/>
          <w:b/>
        </w:rPr>
        <w:t>Material Change in SPAC Promoters</w:t>
      </w:r>
    </w:p>
    <w:p w14:paraId="20E08114" w14:textId="77777777" w:rsidR="0080529E" w:rsidRPr="00EE59CD" w:rsidRDefault="0080529E" w:rsidP="0080529E">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A</w:t>
      </w:r>
      <w:r w:rsidRPr="00EE59CD">
        <w:rPr>
          <w:rFonts w:ascii="Helvetica" w:eastAsia="Times New Roman" w:hAnsi="Helvetica" w:cs="Helvetica"/>
        </w:rPr>
        <w:t xml:space="preserve"> material change in: </w:t>
      </w:r>
    </w:p>
    <w:p w14:paraId="5FC4B32E" w14:textId="77777777" w:rsidR="0080529E" w:rsidRPr="00EE59CD" w:rsidRDefault="0080529E" w:rsidP="0080529E">
      <w:pPr>
        <w:numPr>
          <w:ilvl w:val="0"/>
          <w:numId w:val="4"/>
        </w:numPr>
        <w:shd w:val="clear" w:color="auto" w:fill="FFFFFF"/>
        <w:tabs>
          <w:tab w:val="left" w:pos="851"/>
        </w:tabs>
        <w:spacing w:before="139" w:line="209" w:lineRule="exact"/>
        <w:ind w:left="851" w:hanging="425"/>
        <w:jc w:val="both"/>
        <w:rPr>
          <w:rFonts w:ascii="Helvetica" w:eastAsia="Times New Roman" w:hAnsi="Helvetica" w:cs="Helvetica"/>
        </w:rPr>
      </w:pPr>
      <w:r w:rsidRPr="00EE59CD">
        <w:rPr>
          <w:rFonts w:ascii="Helvetica" w:eastAsia="Times New Roman" w:hAnsi="Helvetica" w:cs="Helvetica"/>
        </w:rPr>
        <w:t xml:space="preserve">a SPAC Promoter who, alone or with its close associates, controls 50% or more of the issued Promoter Shares (or if none, the single largest SPAC Promoter); </w:t>
      </w:r>
    </w:p>
    <w:p w14:paraId="181AE087" w14:textId="77777777" w:rsidR="0080529E" w:rsidRPr="00EE59CD" w:rsidRDefault="0080529E" w:rsidP="0080529E">
      <w:pPr>
        <w:numPr>
          <w:ilvl w:val="0"/>
          <w:numId w:val="4"/>
        </w:numPr>
        <w:shd w:val="clear" w:color="auto" w:fill="FFFFFF"/>
        <w:tabs>
          <w:tab w:val="left" w:pos="851"/>
        </w:tabs>
        <w:spacing w:before="139" w:line="209" w:lineRule="exact"/>
        <w:ind w:left="1276" w:hanging="850"/>
        <w:jc w:val="both"/>
        <w:rPr>
          <w:rFonts w:ascii="Helvetica" w:eastAsia="Times New Roman" w:hAnsi="Helvetica" w:cs="Helvetica"/>
        </w:rPr>
      </w:pPr>
      <w:r w:rsidRPr="00EE59CD">
        <w:rPr>
          <w:rFonts w:ascii="Helvetica" w:eastAsia="Times New Roman" w:hAnsi="Helvetica" w:cs="Helvetica"/>
        </w:rPr>
        <w:t>a SPAC Promoter holding the required SFC licences: or</w:t>
      </w:r>
    </w:p>
    <w:p w14:paraId="5A245556" w14:textId="77777777" w:rsidR="0080529E" w:rsidRPr="00EE59CD" w:rsidRDefault="0080529E" w:rsidP="0080529E">
      <w:pPr>
        <w:numPr>
          <w:ilvl w:val="0"/>
          <w:numId w:val="4"/>
        </w:numPr>
        <w:shd w:val="clear" w:color="auto" w:fill="FFFFFF"/>
        <w:tabs>
          <w:tab w:val="left" w:pos="851"/>
        </w:tabs>
        <w:spacing w:before="139" w:line="209" w:lineRule="exact"/>
        <w:ind w:left="1276" w:hanging="850"/>
        <w:jc w:val="both"/>
        <w:rPr>
          <w:rFonts w:ascii="Helvetica" w:eastAsia="Times New Roman" w:hAnsi="Helvetica" w:cs="Helvetica"/>
        </w:rPr>
      </w:pPr>
      <w:r w:rsidRPr="00EE59CD">
        <w:rPr>
          <w:rFonts w:ascii="Helvetica" w:eastAsia="Times New Roman" w:hAnsi="Helvetica" w:cs="Helvetica"/>
        </w:rPr>
        <w:t>the suitability or eligibility of a SPAC Promoter referred to in (i) or (ii),</w:t>
      </w:r>
    </w:p>
    <w:p w14:paraId="3EEAAA38" w14:textId="77777777" w:rsidR="0080529E" w:rsidRPr="00EE59CD" w:rsidRDefault="0080529E" w:rsidP="0080529E">
      <w:pPr>
        <w:shd w:val="clear" w:color="auto" w:fill="FFFFFF"/>
        <w:tabs>
          <w:tab w:val="left" w:pos="426"/>
        </w:tabs>
        <w:spacing w:before="139" w:line="209" w:lineRule="exact"/>
        <w:jc w:val="both"/>
        <w:rPr>
          <w:rFonts w:ascii="Helvetica" w:eastAsia="Times New Roman" w:hAnsi="Helvetica" w:cs="Helvetica"/>
        </w:rPr>
      </w:pPr>
      <w:r w:rsidRPr="00EE59CD">
        <w:rPr>
          <w:rFonts w:ascii="Helvetica" w:eastAsia="Times New Roman" w:hAnsi="Helvetica" w:cs="Helvetica"/>
        </w:rPr>
        <w:t>must be approved by a special resolution of the SPAC shareholders at a general meeting (at which SPAC Promoters and their close associates must abstain from voting) within one month of the material change and by the HK</w:t>
      </w:r>
      <w:r>
        <w:rPr>
          <w:rFonts w:ascii="Helvetica" w:eastAsia="Times New Roman" w:hAnsi="Helvetica" w:cs="Helvetica"/>
        </w:rPr>
        <w:t>EX</w:t>
      </w:r>
      <w:r w:rsidRPr="00EE59CD">
        <w:rPr>
          <w:rFonts w:ascii="Helvetica" w:eastAsia="Times New Roman" w:hAnsi="Helvetica" w:cs="Helvetica"/>
        </w:rPr>
        <w:t xml:space="preserve">. A material change includes (among others) the departure or addition of a </w:t>
      </w:r>
      <w:r>
        <w:rPr>
          <w:rFonts w:ascii="Helvetica" w:eastAsia="Times New Roman" w:hAnsi="Helvetica" w:cs="Helvetica"/>
        </w:rPr>
        <w:t>SPAC Promoter and</w:t>
      </w:r>
      <w:r w:rsidRPr="00EE59CD">
        <w:rPr>
          <w:rFonts w:ascii="Helvetica" w:eastAsia="Times New Roman" w:hAnsi="Helvetica" w:cs="Helvetica"/>
        </w:rPr>
        <w:t xml:space="preserve"> a change in control of a SPAC Promoter. A change in the eligibility or suitability of a SPAC Promoter </w:t>
      </w:r>
      <w:r w:rsidR="00663CAE">
        <w:rPr>
          <w:rFonts w:ascii="Helvetica" w:eastAsia="Times New Roman" w:hAnsi="Helvetica" w:cs="Helvetica"/>
        </w:rPr>
        <w:t>under paragraph (iii) above will include</w:t>
      </w:r>
      <w:r w:rsidRPr="00EE59CD">
        <w:rPr>
          <w:rFonts w:ascii="Helvetica" w:eastAsia="Times New Roman" w:hAnsi="Helvetica" w:cs="Helvetica"/>
        </w:rPr>
        <w:t xml:space="preserve"> the SFC’s revocation or suspension of a SPAC Promoter’s licence and </w:t>
      </w:r>
      <w:r w:rsidR="00663CAE">
        <w:rPr>
          <w:rFonts w:ascii="Helvetica" w:eastAsia="Times New Roman" w:hAnsi="Helvetica" w:cs="Helvetica"/>
        </w:rPr>
        <w:t xml:space="preserve">its </w:t>
      </w:r>
      <w:r w:rsidRPr="00EE59CD">
        <w:rPr>
          <w:rFonts w:ascii="Helvetica" w:eastAsia="Times New Roman" w:hAnsi="Helvetica" w:cs="Helvetica"/>
        </w:rPr>
        <w:t xml:space="preserve">breach of any laws or regulations having a bearing on </w:t>
      </w:r>
      <w:r w:rsidR="00663CAE">
        <w:rPr>
          <w:rFonts w:ascii="Helvetica" w:eastAsia="Times New Roman" w:hAnsi="Helvetica" w:cs="Helvetica"/>
        </w:rPr>
        <w:t>its integrity and/or competence.</w:t>
      </w:r>
    </w:p>
    <w:p w14:paraId="4B910859" w14:textId="77777777" w:rsidR="001A6747" w:rsidRPr="001A6747" w:rsidRDefault="001A6747" w:rsidP="001A6747">
      <w:pPr>
        <w:shd w:val="clear" w:color="auto" w:fill="FFFFFF"/>
        <w:tabs>
          <w:tab w:val="left" w:pos="851"/>
        </w:tabs>
        <w:spacing w:before="139" w:line="209" w:lineRule="exact"/>
        <w:jc w:val="both"/>
        <w:rPr>
          <w:rFonts w:ascii="Helvetica" w:eastAsia="Times New Roman" w:hAnsi="Helvetica" w:cs="Helvetica"/>
          <w:b/>
        </w:rPr>
      </w:pPr>
      <w:r w:rsidRPr="001A6747">
        <w:rPr>
          <w:rFonts w:ascii="Helvetica" w:eastAsia="Times New Roman" w:hAnsi="Helvetica" w:cs="Helvetica"/>
          <w:b/>
        </w:rPr>
        <w:t>SPAC Directors</w:t>
      </w:r>
    </w:p>
    <w:p w14:paraId="15FA2EA7" w14:textId="77777777" w:rsidR="00AE312F" w:rsidRDefault="001A6747" w:rsidP="001A6747">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A</w:t>
      </w:r>
      <w:r w:rsidR="00AE312F" w:rsidRPr="00EE59CD">
        <w:rPr>
          <w:rFonts w:ascii="Helvetica" w:eastAsia="Times New Roman" w:hAnsi="Helvetica" w:cs="Helvetica"/>
        </w:rPr>
        <w:t xml:space="preserve"> SPAC board must include at least two Type 6 and two Type 9 SFC-licensed persons, one of whom must be a licensed person of a </w:t>
      </w:r>
      <w:r>
        <w:rPr>
          <w:rFonts w:ascii="Helvetica" w:eastAsia="Times New Roman" w:hAnsi="Helvetica" w:cs="Helvetica"/>
        </w:rPr>
        <w:t>SPAC Promoter.</w:t>
      </w:r>
    </w:p>
    <w:p w14:paraId="39DC7ADC" w14:textId="77777777" w:rsidR="0080529E" w:rsidRPr="00EE59CD" w:rsidRDefault="0080529E" w:rsidP="001A6747">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 xml:space="preserve">Chapter 3 of the HKEX Listing Rules applies to SPACs and requires </w:t>
      </w:r>
      <w:r w:rsidR="00BB3C1D">
        <w:rPr>
          <w:rFonts w:ascii="Helvetica" w:eastAsia="Times New Roman" w:hAnsi="Helvetica" w:cs="Helvetica"/>
        </w:rPr>
        <w:t xml:space="preserve">that INEDs comprise at least one third of their boards subject to a minimum of </w:t>
      </w:r>
      <w:r>
        <w:rPr>
          <w:rFonts w:ascii="Helvetica" w:eastAsia="Times New Roman" w:hAnsi="Helvetica" w:cs="Helvetica"/>
        </w:rPr>
        <w:t>three INEDs</w:t>
      </w:r>
      <w:r w:rsidR="00BB3C1D">
        <w:rPr>
          <w:rFonts w:ascii="Helvetica" w:eastAsia="Times New Roman" w:hAnsi="Helvetica" w:cs="Helvetica"/>
        </w:rPr>
        <w:t>.</w:t>
      </w:r>
      <w:r>
        <w:rPr>
          <w:rFonts w:ascii="Helvetica" w:eastAsia="Times New Roman" w:hAnsi="Helvetica" w:cs="Helvetica"/>
        </w:rPr>
        <w:t xml:space="preserve"> </w:t>
      </w:r>
    </w:p>
    <w:p w14:paraId="5A621A9E" w14:textId="77777777" w:rsidR="00BB3C1D" w:rsidRDefault="00BB3C1D" w:rsidP="00BB3C1D">
      <w:pPr>
        <w:shd w:val="clear" w:color="auto" w:fill="FFFFFF"/>
        <w:tabs>
          <w:tab w:val="left" w:pos="851"/>
        </w:tabs>
        <w:spacing w:before="139" w:line="209" w:lineRule="exact"/>
        <w:jc w:val="both"/>
        <w:rPr>
          <w:rFonts w:ascii="Helvetica" w:eastAsia="Times New Roman" w:hAnsi="Helvetica" w:cs="Helvetica"/>
          <w:b/>
          <w:color w:val="FF0000"/>
        </w:rPr>
      </w:pPr>
      <w:r>
        <w:rPr>
          <w:rFonts w:ascii="Helvetica" w:eastAsia="Times New Roman" w:hAnsi="Helvetica" w:cs="Helvetica"/>
          <w:b/>
          <w:color w:val="FF0000"/>
        </w:rPr>
        <w:t>SPACs’ Continuing Obligations</w:t>
      </w:r>
    </w:p>
    <w:p w14:paraId="00A4114B" w14:textId="77777777" w:rsidR="00BB3C1D" w:rsidRPr="00BB3C1D" w:rsidRDefault="00BB3C1D" w:rsidP="00BB3C1D">
      <w:pPr>
        <w:shd w:val="clear" w:color="auto" w:fill="FFFFFF"/>
        <w:tabs>
          <w:tab w:val="left" w:pos="851"/>
        </w:tabs>
        <w:spacing w:before="139" w:line="209" w:lineRule="exact"/>
        <w:jc w:val="both"/>
        <w:rPr>
          <w:rFonts w:ascii="Helvetica" w:eastAsia="Times New Roman" w:hAnsi="Helvetica" w:cs="Helvetica"/>
          <w:b/>
        </w:rPr>
      </w:pPr>
      <w:r>
        <w:rPr>
          <w:rFonts w:ascii="Helvetica" w:eastAsia="Times New Roman" w:hAnsi="Helvetica" w:cs="Helvetica"/>
          <w:b/>
        </w:rPr>
        <w:lastRenderedPageBreak/>
        <w:t xml:space="preserve">Promoter Shares </w:t>
      </w:r>
    </w:p>
    <w:p w14:paraId="31382152" w14:textId="77777777" w:rsidR="00663CAE" w:rsidRDefault="00AE312F" w:rsidP="00BB3C1D">
      <w:pPr>
        <w:shd w:val="clear" w:color="auto" w:fill="FFFFFF"/>
        <w:tabs>
          <w:tab w:val="left" w:pos="851"/>
        </w:tabs>
        <w:spacing w:before="139" w:line="209" w:lineRule="exact"/>
        <w:jc w:val="both"/>
        <w:rPr>
          <w:rFonts w:ascii="Helvetica" w:eastAsia="Times New Roman" w:hAnsi="Helvetica" w:cs="Helvetica"/>
        </w:rPr>
      </w:pPr>
      <w:r w:rsidRPr="00EE59CD">
        <w:rPr>
          <w:rFonts w:ascii="Helvetica" w:eastAsia="Times New Roman" w:hAnsi="Helvetica" w:cs="Helvetica"/>
        </w:rPr>
        <w:t xml:space="preserve">The number of Promoter Shares issued to SPAC Promoters must not represent more than 20% of the total number of the SPAC’s issued shares as at its listing date. </w:t>
      </w:r>
    </w:p>
    <w:p w14:paraId="51630DAC" w14:textId="43D52AB4" w:rsidR="00AE312F" w:rsidRPr="00EE59CD" w:rsidRDefault="00AE312F" w:rsidP="00BB3C1D">
      <w:pPr>
        <w:shd w:val="clear" w:color="auto" w:fill="FFFFFF"/>
        <w:tabs>
          <w:tab w:val="left" w:pos="851"/>
        </w:tabs>
        <w:spacing w:before="139" w:line="209" w:lineRule="exact"/>
        <w:jc w:val="both"/>
        <w:rPr>
          <w:rFonts w:ascii="Helvetica" w:eastAsia="Times New Roman" w:hAnsi="Helvetica" w:cs="Helvetica"/>
        </w:rPr>
      </w:pPr>
      <w:r w:rsidRPr="00EE59CD">
        <w:rPr>
          <w:rFonts w:ascii="Helvetica" w:eastAsia="Times New Roman" w:hAnsi="Helvetica" w:cs="Helvetica"/>
        </w:rPr>
        <w:t xml:space="preserve">Following completion of the De-SPAC Transaction, SPACs are permitted to issue additional Promoter Shares capped at 10% of the total number of shares in issue as at the SPAC’s listing date. The </w:t>
      </w:r>
      <w:r w:rsidR="001123EB">
        <w:rPr>
          <w:rFonts w:ascii="Helvetica" w:eastAsia="Times New Roman" w:hAnsi="Helvetica" w:cs="Helvetica"/>
        </w:rPr>
        <w:t>HKEX</w:t>
      </w:r>
      <w:r w:rsidRPr="00EE59CD">
        <w:rPr>
          <w:rFonts w:ascii="Helvetica" w:eastAsia="Times New Roman" w:hAnsi="Helvetica" w:cs="Helvetica"/>
        </w:rPr>
        <w:t xml:space="preserve"> may also allow SPACs to issue additional rights to SPAC Promoters entitling them to receive additional ordinary shares of the Successor Company following completion of the De-SPAC Transaction as earn-out rights subject to the following:</w:t>
      </w:r>
    </w:p>
    <w:p w14:paraId="60105E61" w14:textId="77777777" w:rsidR="00AE312F" w:rsidRPr="00EE59CD" w:rsidRDefault="00AE312F" w:rsidP="00BB3C1D">
      <w:pPr>
        <w:numPr>
          <w:ilvl w:val="0"/>
          <w:numId w:val="5"/>
        </w:numPr>
        <w:shd w:val="clear" w:color="auto" w:fill="FFFFFF"/>
        <w:tabs>
          <w:tab w:val="left" w:pos="851"/>
        </w:tabs>
        <w:spacing w:before="139" w:line="209" w:lineRule="exact"/>
        <w:ind w:left="851" w:hanging="425"/>
        <w:jc w:val="both"/>
        <w:rPr>
          <w:rFonts w:ascii="Helvetica" w:eastAsia="Times New Roman" w:hAnsi="Helvetica" w:cs="Helvetica"/>
        </w:rPr>
      </w:pPr>
      <w:r w:rsidRPr="00EE59CD">
        <w:rPr>
          <w:rFonts w:ascii="Helvetica" w:eastAsia="Times New Roman" w:hAnsi="Helvetica" w:cs="Helvetica"/>
        </w:rPr>
        <w:t>the total number of ordinary shares of the Successor Company to be issued under the earn-out rights (“</w:t>
      </w:r>
      <w:r w:rsidRPr="00663CAE">
        <w:rPr>
          <w:rFonts w:ascii="Helvetica" w:eastAsia="Times New Roman" w:hAnsi="Helvetica" w:cs="Helvetica"/>
          <w:b/>
        </w:rPr>
        <w:t>earn-out shares</w:t>
      </w:r>
      <w:r w:rsidRPr="00EE59CD">
        <w:rPr>
          <w:rFonts w:ascii="Helvetica" w:eastAsia="Times New Roman" w:hAnsi="Helvetica" w:cs="Helvetica"/>
        </w:rPr>
        <w:t>”) and all Promoter Shares must not exceed 30% of the number of the SPAC’s issued shares at listing;</w:t>
      </w:r>
    </w:p>
    <w:p w14:paraId="6F019E21" w14:textId="704BBB8B" w:rsidR="00AE312F" w:rsidRPr="00EE59CD" w:rsidRDefault="00AE312F" w:rsidP="00BB3C1D">
      <w:pPr>
        <w:numPr>
          <w:ilvl w:val="0"/>
          <w:numId w:val="5"/>
        </w:numPr>
        <w:shd w:val="clear" w:color="auto" w:fill="FFFFFF"/>
        <w:tabs>
          <w:tab w:val="left" w:pos="851"/>
        </w:tabs>
        <w:spacing w:before="139" w:line="209" w:lineRule="exact"/>
        <w:ind w:left="851" w:hanging="425"/>
        <w:jc w:val="both"/>
        <w:rPr>
          <w:rFonts w:ascii="Helvetica" w:eastAsia="Times New Roman" w:hAnsi="Helvetica" w:cs="Helvetica"/>
        </w:rPr>
      </w:pPr>
      <w:r w:rsidRPr="00EE59CD">
        <w:rPr>
          <w:rFonts w:ascii="Helvetica" w:eastAsia="Times New Roman" w:hAnsi="Helvetica" w:cs="Helvetica"/>
        </w:rPr>
        <w:t xml:space="preserve">the earn-out must only be convertible into earn-out shares subject to the satisfaction of objective performance targets. If the performance targets are determined by changes in the price of the Successor Company’s shares, the targets must be: (a) at least 20% higher than the issue price of the SPAC shares at listing; and (b) satisfied by reference to the volume weighted average price of the Successor Company’s shares (calculated on the basis of the </w:t>
      </w:r>
      <w:r w:rsidR="001123EB">
        <w:rPr>
          <w:rFonts w:ascii="Helvetica" w:eastAsia="Times New Roman" w:hAnsi="Helvetica" w:cs="Helvetica"/>
        </w:rPr>
        <w:t>HKEX</w:t>
      </w:r>
      <w:r w:rsidR="001123EB" w:rsidRPr="00EE59CD">
        <w:rPr>
          <w:rFonts w:ascii="Helvetica" w:eastAsia="Times New Roman" w:hAnsi="Helvetica" w:cs="Helvetica"/>
        </w:rPr>
        <w:t xml:space="preserve"> </w:t>
      </w:r>
      <w:r w:rsidRPr="00EE59CD">
        <w:rPr>
          <w:rFonts w:ascii="Helvetica" w:eastAsia="Times New Roman" w:hAnsi="Helvetica" w:cs="Helvetica"/>
        </w:rPr>
        <w:t>daily quotations sheets) over a period of at least 20 trading days within a 30 consecutive trading day period commencing at least six months after the Successor Company’s listing</w:t>
      </w:r>
      <w:r w:rsidR="00BB3C1D">
        <w:rPr>
          <w:rFonts w:ascii="Helvetica" w:eastAsia="Times New Roman" w:hAnsi="Helvetica" w:cs="Helvetica"/>
        </w:rPr>
        <w:t>.</w:t>
      </w:r>
    </w:p>
    <w:p w14:paraId="2C1C5199" w14:textId="77777777" w:rsidR="00663CAE" w:rsidRDefault="00663CAE" w:rsidP="00BB3C1D">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b/>
        </w:rPr>
        <w:t>Promoter Warrants</w:t>
      </w:r>
    </w:p>
    <w:p w14:paraId="55732CED" w14:textId="67D84B98" w:rsidR="00663CAE" w:rsidRDefault="00BB3C1D" w:rsidP="00BB3C1D">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N</w:t>
      </w:r>
      <w:r w:rsidR="00AE312F" w:rsidRPr="00EE59CD">
        <w:rPr>
          <w:rFonts w:ascii="Helvetica" w:eastAsia="Times New Roman" w:hAnsi="Helvetica" w:cs="Helvetica"/>
        </w:rPr>
        <w:t>ew Listing Rule 18B.30(</w:t>
      </w:r>
      <w:r w:rsidR="00056A8F" w:rsidRPr="00056A8F">
        <w:rPr>
          <w:rFonts w:ascii="Helvetica" w:eastAsia="Times New Roman" w:hAnsi="Helvetica" w:cs="Helvetica"/>
        </w:rPr>
        <w:t>2</w:t>
      </w:r>
      <w:r w:rsidR="00AE312F" w:rsidRPr="00EE59CD">
        <w:rPr>
          <w:rFonts w:ascii="Helvetica" w:eastAsia="Times New Roman" w:hAnsi="Helvetica" w:cs="Helvetica"/>
        </w:rPr>
        <w:t>) will prohibit Promoter Warrants that entitle the holder, upon exercise, to more than one share in the Successor Company. Promoter Warrants cannot be issued at a price that is less than 10% of the issue price of SPAC Shares at listing and cannot contain more favourable terms than those carried by other warrants issued by the SPAC</w:t>
      </w:r>
      <w:r w:rsidR="00663CAE">
        <w:rPr>
          <w:rFonts w:ascii="Helvetica" w:eastAsia="Times New Roman" w:hAnsi="Helvetica" w:cs="Helvetica"/>
        </w:rPr>
        <w:t xml:space="preserve"> </w:t>
      </w:r>
      <w:r w:rsidR="00056A8F">
        <w:rPr>
          <w:rFonts w:ascii="Helvetica" w:eastAsia="Times New Roman" w:hAnsi="Helvetica" w:cs="Helvetica"/>
        </w:rPr>
        <w:t xml:space="preserve">(new Listing Rule </w:t>
      </w:r>
      <w:r w:rsidR="00056A8F" w:rsidRPr="00663CAE">
        <w:rPr>
          <w:rFonts w:ascii="Helvetica" w:eastAsia="Times New Roman" w:hAnsi="Helvetica" w:cs="Helvetica"/>
        </w:rPr>
        <w:t>18B.30</w:t>
      </w:r>
      <w:r w:rsidR="00056A8F">
        <w:rPr>
          <w:rFonts w:ascii="Helvetica" w:eastAsia="Times New Roman" w:hAnsi="Helvetica" w:cs="Helvetica"/>
        </w:rPr>
        <w:t xml:space="preserve">(1) and </w:t>
      </w:r>
      <w:r w:rsidR="00056A8F" w:rsidRPr="00663CAE">
        <w:rPr>
          <w:rFonts w:ascii="Helvetica" w:eastAsia="Times New Roman" w:hAnsi="Helvetica" w:cs="Helvetica"/>
        </w:rPr>
        <w:t>18B.30 (</w:t>
      </w:r>
      <w:r w:rsidR="00056A8F">
        <w:rPr>
          <w:rFonts w:ascii="Helvetica" w:eastAsia="Times New Roman" w:hAnsi="Helvetica" w:cs="Helvetica"/>
        </w:rPr>
        <w:t>3</w:t>
      </w:r>
      <w:r w:rsidR="00056A8F" w:rsidRPr="00663CAE">
        <w:rPr>
          <w:rFonts w:ascii="Helvetica" w:eastAsia="Times New Roman" w:hAnsi="Helvetica" w:cs="Helvetica"/>
        </w:rPr>
        <w:t>)</w:t>
      </w:r>
      <w:r w:rsidR="00056A8F">
        <w:rPr>
          <w:rFonts w:ascii="Helvetica" w:eastAsia="Times New Roman" w:hAnsi="Helvetica" w:cs="Helvetica"/>
        </w:rPr>
        <w:t>)</w:t>
      </w:r>
      <w:r w:rsidR="00056A8F" w:rsidRPr="00EE59CD">
        <w:rPr>
          <w:rFonts w:ascii="Helvetica" w:eastAsia="Times New Roman" w:hAnsi="Helvetica" w:cs="Helvetica"/>
        </w:rPr>
        <w:t>.</w:t>
      </w:r>
    </w:p>
    <w:p w14:paraId="3E8F71D7" w14:textId="6AB56E6F" w:rsidR="00AE312F" w:rsidRPr="00EE59CD" w:rsidRDefault="00AE312F" w:rsidP="00BB3C1D">
      <w:pPr>
        <w:shd w:val="clear" w:color="auto" w:fill="FFFFFF"/>
        <w:tabs>
          <w:tab w:val="left" w:pos="851"/>
        </w:tabs>
        <w:spacing w:before="139" w:line="209" w:lineRule="exact"/>
        <w:jc w:val="both"/>
        <w:rPr>
          <w:rFonts w:ascii="Helvetica" w:eastAsia="Times New Roman" w:hAnsi="Helvetica" w:cs="Helvetica"/>
        </w:rPr>
      </w:pPr>
      <w:r w:rsidRPr="00EE59CD">
        <w:rPr>
          <w:rFonts w:ascii="Helvetica" w:eastAsia="Times New Roman" w:hAnsi="Helvetica" w:cs="Helvetica"/>
        </w:rPr>
        <w:t xml:space="preserve">SPAC Warrants and SPAC Promoter Warrants must not be issued at a price that is less than 15% of </w:t>
      </w:r>
      <w:r w:rsidR="00BB3C1D">
        <w:rPr>
          <w:rFonts w:ascii="Helvetica" w:eastAsia="Times New Roman" w:hAnsi="Helvetica" w:cs="Helvetica"/>
        </w:rPr>
        <w:t>the issue price of the SPAC S</w:t>
      </w:r>
      <w:r w:rsidRPr="00EE59CD">
        <w:rPr>
          <w:rFonts w:ascii="Helvetica" w:eastAsia="Times New Roman" w:hAnsi="Helvetica" w:cs="Helvetica"/>
        </w:rPr>
        <w:t>hares at listing and must only be exerciseable after completion of the De-SPAC Transaction</w:t>
      </w:r>
      <w:r w:rsidR="00663CAE">
        <w:rPr>
          <w:rFonts w:ascii="Helvetica" w:eastAsia="Times New Roman" w:hAnsi="Helvetica" w:cs="Helvetica"/>
        </w:rPr>
        <w:t xml:space="preserve"> </w:t>
      </w:r>
      <w:r w:rsidR="00FE5109">
        <w:rPr>
          <w:rFonts w:ascii="Helvetica" w:eastAsia="Times New Roman" w:hAnsi="Helvetica" w:cs="Helvetica"/>
        </w:rPr>
        <w:t xml:space="preserve">(new </w:t>
      </w:r>
      <w:r w:rsidR="00FE5109" w:rsidRPr="00663CAE">
        <w:rPr>
          <w:rFonts w:ascii="Helvetica" w:eastAsia="Times New Roman" w:hAnsi="Helvetica" w:cs="Helvetica"/>
        </w:rPr>
        <w:t>L</w:t>
      </w:r>
      <w:r w:rsidR="00FE5109">
        <w:rPr>
          <w:rFonts w:ascii="Helvetica" w:eastAsia="Times New Roman" w:hAnsi="Helvetica" w:cs="Helvetica"/>
        </w:rPr>
        <w:t xml:space="preserve">isting </w:t>
      </w:r>
      <w:r w:rsidR="00FE5109" w:rsidRPr="00663CAE">
        <w:rPr>
          <w:rFonts w:ascii="Helvetica" w:eastAsia="Times New Roman" w:hAnsi="Helvetica" w:cs="Helvetica"/>
        </w:rPr>
        <w:t>R</w:t>
      </w:r>
      <w:r w:rsidR="00FE5109">
        <w:rPr>
          <w:rFonts w:ascii="Helvetica" w:eastAsia="Times New Roman" w:hAnsi="Helvetica" w:cs="Helvetica"/>
        </w:rPr>
        <w:t xml:space="preserve">ule </w:t>
      </w:r>
      <w:r w:rsidR="00FE5109" w:rsidRPr="00663CAE">
        <w:rPr>
          <w:rFonts w:ascii="Helvetica" w:eastAsia="Times New Roman" w:hAnsi="Helvetica" w:cs="Helvetica"/>
        </w:rPr>
        <w:t>18B.22(1</w:t>
      </w:r>
      <w:r w:rsidR="00FE5109">
        <w:rPr>
          <w:rFonts w:ascii="Helvetica" w:eastAsia="Times New Roman" w:hAnsi="Helvetica" w:cs="Helvetica"/>
        </w:rPr>
        <w:t xml:space="preserve">) and </w:t>
      </w:r>
      <w:r w:rsidR="00FE5109" w:rsidRPr="00663CAE">
        <w:rPr>
          <w:rFonts w:ascii="Helvetica" w:eastAsia="Times New Roman" w:hAnsi="Helvetica" w:cs="Helvetica"/>
        </w:rPr>
        <w:t>18B.22</w:t>
      </w:r>
      <w:r w:rsidR="00FE5109">
        <w:rPr>
          <w:rFonts w:ascii="Helvetica" w:eastAsia="Times New Roman" w:hAnsi="Helvetica" w:cs="Helvetica"/>
        </w:rPr>
        <w:t>(2))</w:t>
      </w:r>
      <w:r w:rsidR="00FE5109" w:rsidRPr="00EE59CD">
        <w:rPr>
          <w:rFonts w:ascii="Helvetica" w:eastAsia="Times New Roman" w:hAnsi="Helvetica" w:cs="Helvetica"/>
        </w:rPr>
        <w:t xml:space="preserve">. </w:t>
      </w:r>
      <w:r w:rsidRPr="00EE59CD">
        <w:rPr>
          <w:rFonts w:ascii="Helvetica" w:eastAsia="Times New Roman" w:hAnsi="Helvetica" w:cs="Helvetica"/>
        </w:rPr>
        <w:t xml:space="preserve">SPAC </w:t>
      </w:r>
      <w:r w:rsidR="00663CAE">
        <w:rPr>
          <w:rFonts w:ascii="Helvetica" w:eastAsia="Times New Roman" w:hAnsi="Helvetica" w:cs="Helvetica"/>
        </w:rPr>
        <w:t>warrants will have to</w:t>
      </w:r>
      <w:r w:rsidRPr="00EE59CD">
        <w:rPr>
          <w:rFonts w:ascii="Helvetica" w:eastAsia="Times New Roman" w:hAnsi="Helvetica" w:cs="Helvetica"/>
        </w:rPr>
        <w:t xml:space="preserve"> expire at least one year after, and not more than five years after</w:t>
      </w:r>
      <w:r w:rsidR="00663CAE">
        <w:rPr>
          <w:rFonts w:ascii="Helvetica" w:eastAsia="Times New Roman" w:hAnsi="Helvetica" w:cs="Helvetica"/>
        </w:rPr>
        <w:t>,</w:t>
      </w:r>
      <w:r w:rsidRPr="00EE59CD">
        <w:rPr>
          <w:rFonts w:ascii="Helvetica" w:eastAsia="Times New Roman" w:hAnsi="Helvetica" w:cs="Helvetica"/>
        </w:rPr>
        <w:t xml:space="preserve"> the completion of the De-SPAC Transaction and must not be convertible into further rights to subscribe for securities expiring less than one year or five years </w:t>
      </w:r>
      <w:r w:rsidR="00BB3C1D">
        <w:rPr>
          <w:rFonts w:ascii="Helvetica" w:eastAsia="Times New Roman" w:hAnsi="Helvetica" w:cs="Helvetica"/>
        </w:rPr>
        <w:t>thereafter</w:t>
      </w:r>
      <w:r w:rsidR="00007B45">
        <w:rPr>
          <w:rFonts w:ascii="Helvetica" w:eastAsia="Times New Roman" w:hAnsi="Helvetica" w:cs="Helvetica"/>
        </w:rPr>
        <w:t xml:space="preserve"> (new </w:t>
      </w:r>
      <w:r w:rsidR="00007B45" w:rsidRPr="00663CAE">
        <w:rPr>
          <w:rFonts w:ascii="Helvetica" w:eastAsia="Times New Roman" w:hAnsi="Helvetica" w:cs="Helvetica"/>
        </w:rPr>
        <w:t>L</w:t>
      </w:r>
      <w:r w:rsidR="00007B45">
        <w:rPr>
          <w:rFonts w:ascii="Helvetica" w:eastAsia="Times New Roman" w:hAnsi="Helvetica" w:cs="Helvetica"/>
        </w:rPr>
        <w:t xml:space="preserve">isting </w:t>
      </w:r>
      <w:r w:rsidR="00007B45" w:rsidRPr="00663CAE">
        <w:rPr>
          <w:rFonts w:ascii="Helvetica" w:eastAsia="Times New Roman" w:hAnsi="Helvetica" w:cs="Helvetica"/>
        </w:rPr>
        <w:t>R</w:t>
      </w:r>
      <w:r w:rsidR="00007B45">
        <w:rPr>
          <w:rFonts w:ascii="Helvetica" w:eastAsia="Times New Roman" w:hAnsi="Helvetica" w:cs="Helvetica"/>
        </w:rPr>
        <w:t>ule 18B.22(3))</w:t>
      </w:r>
      <w:r w:rsidR="00BB3C1D">
        <w:rPr>
          <w:rFonts w:ascii="Helvetica" w:eastAsia="Times New Roman" w:hAnsi="Helvetica" w:cs="Helvetica"/>
        </w:rPr>
        <w:t>.</w:t>
      </w:r>
      <w:r w:rsidRPr="00EE59CD">
        <w:rPr>
          <w:rFonts w:ascii="Helvetica" w:eastAsia="Times New Roman" w:hAnsi="Helvetica" w:cs="Helvetica"/>
        </w:rPr>
        <w:t xml:space="preserve"> </w:t>
      </w:r>
    </w:p>
    <w:p w14:paraId="200F149B" w14:textId="4D486285" w:rsidR="00AE312F" w:rsidRPr="00EE59CD" w:rsidRDefault="00AE312F" w:rsidP="00BB3C1D">
      <w:pPr>
        <w:shd w:val="clear" w:color="auto" w:fill="FFFFFF"/>
        <w:tabs>
          <w:tab w:val="left" w:pos="851"/>
        </w:tabs>
        <w:spacing w:before="139" w:line="209" w:lineRule="exact"/>
        <w:jc w:val="both"/>
        <w:rPr>
          <w:rFonts w:ascii="Helvetica" w:eastAsia="Times New Roman" w:hAnsi="Helvetica" w:cs="Helvetica"/>
        </w:rPr>
      </w:pPr>
      <w:r w:rsidRPr="00EE59CD">
        <w:rPr>
          <w:rFonts w:ascii="Helvetica" w:eastAsia="Times New Roman" w:hAnsi="Helvetica" w:cs="Helvetica"/>
        </w:rPr>
        <w:t>SPAC Promoters, their directors and employees, SPAC employees, and their close associates, will be prohibited from dealing in the SPAC’s listed securities before the completion of a De-SPAC Transaction</w:t>
      </w:r>
      <w:r w:rsidR="00007B45">
        <w:rPr>
          <w:rFonts w:ascii="Helvetica" w:eastAsia="Times New Roman" w:hAnsi="Helvetica" w:cs="Helvetica"/>
        </w:rPr>
        <w:t>.</w:t>
      </w:r>
      <w:r w:rsidR="00FE5109">
        <w:rPr>
          <w:rFonts w:ascii="Helvetica" w:eastAsia="Times New Roman" w:hAnsi="Helvetica" w:cs="Helvetica"/>
        </w:rPr>
        <w:t xml:space="preserve"> </w:t>
      </w:r>
    </w:p>
    <w:p w14:paraId="7D964D6E" w14:textId="77777777" w:rsidR="008F1BFF" w:rsidRPr="008F1BFF" w:rsidRDefault="008F1BFF" w:rsidP="00F636A3">
      <w:pPr>
        <w:shd w:val="clear" w:color="auto" w:fill="FFFFFF"/>
        <w:spacing w:before="139" w:line="209" w:lineRule="exact"/>
        <w:jc w:val="both"/>
        <w:rPr>
          <w:rFonts w:ascii="Helvetica" w:eastAsia="Times New Roman" w:hAnsi="Helvetica" w:cs="Helvetica"/>
          <w:b/>
        </w:rPr>
      </w:pPr>
      <w:r w:rsidRPr="00F636A3">
        <w:rPr>
          <w:rFonts w:ascii="Helvetica" w:eastAsia="Times New Roman" w:hAnsi="Helvetica" w:cs="Helvetica"/>
          <w:b/>
          <w:color w:val="FF0000"/>
        </w:rPr>
        <w:t xml:space="preserve">De-SPAC Transaction Requirements </w:t>
      </w:r>
    </w:p>
    <w:p w14:paraId="0A256DF9" w14:textId="77777777" w:rsidR="00F636A3" w:rsidRPr="00F636A3" w:rsidRDefault="00F636A3" w:rsidP="00F636A3">
      <w:pPr>
        <w:shd w:val="clear" w:color="auto" w:fill="FFFFFF"/>
        <w:tabs>
          <w:tab w:val="left" w:pos="851"/>
        </w:tabs>
        <w:spacing w:before="139" w:line="209" w:lineRule="exact"/>
        <w:jc w:val="both"/>
        <w:rPr>
          <w:rFonts w:ascii="Helvetica" w:eastAsia="Times New Roman" w:hAnsi="Helvetica" w:cs="Helvetica"/>
          <w:b/>
        </w:rPr>
      </w:pPr>
      <w:r>
        <w:rPr>
          <w:rFonts w:ascii="Helvetica" w:eastAsia="Times New Roman" w:hAnsi="Helvetica" w:cs="Helvetica"/>
          <w:b/>
        </w:rPr>
        <w:t>Application of HKEX New Listing Requirements</w:t>
      </w:r>
    </w:p>
    <w:p w14:paraId="58F8AA6B" w14:textId="2466ABF3" w:rsidR="00AE312F" w:rsidRPr="00EE59CD" w:rsidRDefault="00F636A3" w:rsidP="00F636A3">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The</w:t>
      </w:r>
      <w:r w:rsidR="00AE312F" w:rsidRPr="00EE59CD">
        <w:rPr>
          <w:rFonts w:ascii="Helvetica" w:eastAsia="Times New Roman" w:hAnsi="Helvetica" w:cs="Helvetica"/>
        </w:rPr>
        <w:t xml:space="preserve"> Successor Company </w:t>
      </w:r>
      <w:r>
        <w:rPr>
          <w:rFonts w:ascii="Helvetica" w:eastAsia="Times New Roman" w:hAnsi="Helvetica" w:cs="Helvetica"/>
        </w:rPr>
        <w:t>(</w:t>
      </w:r>
      <w:r w:rsidRPr="00EE59CD">
        <w:rPr>
          <w:rFonts w:ascii="Helvetica" w:eastAsia="Times New Roman" w:hAnsi="Helvetica" w:cs="Helvetica"/>
        </w:rPr>
        <w:t>company resulting from the De-SPAC Transaction</w:t>
      </w:r>
      <w:r>
        <w:rPr>
          <w:rFonts w:ascii="Helvetica" w:eastAsia="Times New Roman" w:hAnsi="Helvetica" w:cs="Helvetica"/>
        </w:rPr>
        <w:t xml:space="preserve">) </w:t>
      </w:r>
      <w:r w:rsidR="00AE312F" w:rsidRPr="00EE59CD">
        <w:rPr>
          <w:rFonts w:ascii="Helvetica" w:eastAsia="Times New Roman" w:hAnsi="Helvetica" w:cs="Helvetica"/>
        </w:rPr>
        <w:t>must meet all t</w:t>
      </w:r>
      <w:r w:rsidR="00CE7252">
        <w:rPr>
          <w:rFonts w:ascii="Helvetica" w:eastAsia="Times New Roman" w:hAnsi="Helvetica" w:cs="Helvetica"/>
        </w:rPr>
        <w:t>he requirements for new listing</w:t>
      </w:r>
      <w:r w:rsidR="00AE312F" w:rsidRPr="00EE59CD">
        <w:rPr>
          <w:rFonts w:ascii="Helvetica" w:eastAsia="Times New Roman" w:hAnsi="Helvetica" w:cs="Helvetica"/>
        </w:rPr>
        <w:t xml:space="preserve"> under the Listing Rules (including the listing eligibility requirements of Chapter 8 and the listing application procedures under Chapter 9, including the requirements for the issue of a listing document, the appointment of at least one sponsor who must be appointed at least two months before the Successor Company’s </w:t>
      </w:r>
      <w:r>
        <w:rPr>
          <w:rFonts w:ascii="Helvetica" w:eastAsia="Times New Roman" w:hAnsi="Helvetica" w:cs="Helvetica"/>
        </w:rPr>
        <w:t>listing application submission).</w:t>
      </w:r>
    </w:p>
    <w:p w14:paraId="56AEB737" w14:textId="77777777" w:rsidR="00F636A3" w:rsidRPr="00F636A3" w:rsidRDefault="00F636A3" w:rsidP="00F636A3">
      <w:pPr>
        <w:shd w:val="clear" w:color="auto" w:fill="FFFFFF"/>
        <w:tabs>
          <w:tab w:val="left" w:pos="851"/>
        </w:tabs>
        <w:spacing w:before="139" w:line="209" w:lineRule="exact"/>
        <w:jc w:val="both"/>
        <w:rPr>
          <w:rFonts w:ascii="Helvetica" w:eastAsia="Times New Roman" w:hAnsi="Helvetica" w:cs="Helvetica"/>
          <w:b/>
        </w:rPr>
      </w:pPr>
      <w:r w:rsidRPr="00F636A3">
        <w:rPr>
          <w:rFonts w:ascii="Helvetica" w:eastAsia="Times New Roman" w:hAnsi="Helvetica" w:cs="Helvetica"/>
          <w:b/>
        </w:rPr>
        <w:t>Fair Market Value of the De-SPAC Target</w:t>
      </w:r>
    </w:p>
    <w:p w14:paraId="07B7ABD9" w14:textId="77777777" w:rsidR="00AE312F" w:rsidRDefault="00F636A3" w:rsidP="00F636A3">
      <w:pPr>
        <w:shd w:val="clear" w:color="auto" w:fill="FFFFFF"/>
        <w:tabs>
          <w:tab w:val="left" w:pos="851"/>
        </w:tabs>
        <w:spacing w:before="139" w:line="209" w:lineRule="exact"/>
        <w:jc w:val="both"/>
      </w:pPr>
      <w:r>
        <w:rPr>
          <w:rFonts w:ascii="Helvetica" w:eastAsia="Times New Roman" w:hAnsi="Helvetica" w:cs="Helvetica"/>
        </w:rPr>
        <w:t>A</w:t>
      </w:r>
      <w:r w:rsidR="00AE312F" w:rsidRPr="00EE59CD">
        <w:rPr>
          <w:rFonts w:ascii="Helvetica" w:eastAsia="Times New Roman" w:hAnsi="Helvetica" w:cs="Helvetica"/>
        </w:rPr>
        <w:t xml:space="preserve"> De-SPAC Target must have a fair market value at least 80% of the SPAC’s IPO funds raised</w:t>
      </w:r>
      <w:r>
        <w:rPr>
          <w:rFonts w:ascii="Helvetica" w:eastAsia="Times New Roman" w:hAnsi="Helvetica" w:cs="Helvetica"/>
        </w:rPr>
        <w:t xml:space="preserve"> (prior to any redemptions).</w:t>
      </w:r>
      <w:r w:rsidR="002D6DAE">
        <w:rPr>
          <w:rFonts w:ascii="Helvetica" w:eastAsia="Times New Roman" w:hAnsi="Helvetica" w:cs="Helvetica"/>
        </w:rPr>
        <w:t xml:space="preserve"> As to the determination of </w:t>
      </w:r>
      <w:r w:rsidR="002D6DAE">
        <w:t>“fair market value”, the HKEX expects the SPAC’s board of directors to confirm satisfaction of this requirement, taking into account the Negotiated De-SPAC Value.  According to the SPAC Guidance Letter, the HKEX will assess the board’s confirmation taking into account: (a) the basis of the opinion; (b) the negotiated value of the DeSPAC Target agreed by the parties; (c) the sponsor’s opinion; (d) the amount committed by, and involvement of and validation by the independent third party investors; and (e) the valuation of comparable companies.</w:t>
      </w:r>
    </w:p>
    <w:p w14:paraId="2C4868C5" w14:textId="77777777" w:rsidR="002D6DAE" w:rsidRPr="002D6DAE" w:rsidRDefault="002D6DAE" w:rsidP="00F636A3">
      <w:pPr>
        <w:shd w:val="clear" w:color="auto" w:fill="FFFFFF"/>
        <w:tabs>
          <w:tab w:val="left" w:pos="851"/>
        </w:tabs>
        <w:spacing w:before="139" w:line="209" w:lineRule="exact"/>
        <w:jc w:val="both"/>
        <w:rPr>
          <w:rFonts w:ascii="Helvetica" w:eastAsia="Times New Roman" w:hAnsi="Helvetica" w:cs="Helvetica"/>
          <w:b/>
        </w:rPr>
      </w:pPr>
      <w:r>
        <w:rPr>
          <w:b/>
        </w:rPr>
        <w:t>Independent Third Party Investment</w:t>
      </w:r>
    </w:p>
    <w:p w14:paraId="70E8053C" w14:textId="77777777" w:rsidR="00AE312F" w:rsidRPr="00EE59CD" w:rsidRDefault="002D6DAE" w:rsidP="002D6DAE">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 xml:space="preserve">The HKEX requires a SPAC to obtain funds from independent </w:t>
      </w:r>
      <w:r w:rsidRPr="00EE59CD">
        <w:rPr>
          <w:rFonts w:ascii="Helvetica" w:eastAsia="Times New Roman" w:hAnsi="Helvetica" w:cs="Helvetica"/>
        </w:rPr>
        <w:t xml:space="preserve">third party professional investors </w:t>
      </w:r>
      <w:r>
        <w:rPr>
          <w:rFonts w:ascii="Helvetica" w:eastAsia="Times New Roman" w:hAnsi="Helvetica" w:cs="Helvetica"/>
        </w:rPr>
        <w:t>in order to complete a</w:t>
      </w:r>
      <w:r w:rsidR="00AE312F" w:rsidRPr="00EE59CD">
        <w:rPr>
          <w:rFonts w:ascii="Helvetica" w:eastAsia="Times New Roman" w:hAnsi="Helvetica" w:cs="Helvetica"/>
        </w:rPr>
        <w:t xml:space="preserve"> De-SPAC Transaction</w:t>
      </w:r>
      <w:r>
        <w:rPr>
          <w:rFonts w:ascii="Helvetica" w:eastAsia="Times New Roman" w:hAnsi="Helvetica" w:cs="Helvetica"/>
        </w:rPr>
        <w:t>.</w:t>
      </w:r>
      <w:r w:rsidR="00AE312F" w:rsidRPr="00EE59CD">
        <w:rPr>
          <w:rFonts w:ascii="Helvetica" w:eastAsia="Times New Roman" w:hAnsi="Helvetica" w:cs="Helvetica"/>
        </w:rPr>
        <w:t xml:space="preserve"> </w:t>
      </w:r>
      <w:r>
        <w:rPr>
          <w:rFonts w:ascii="Helvetica" w:eastAsia="Times New Roman" w:hAnsi="Helvetica" w:cs="Helvetica"/>
        </w:rPr>
        <w:t xml:space="preserve">The amount required will depend on the size of the De-SPAC Target and will require </w:t>
      </w:r>
      <w:r w:rsidR="00AE312F" w:rsidRPr="00EE59CD">
        <w:rPr>
          <w:rFonts w:ascii="Helvetica" w:eastAsia="Times New Roman" w:hAnsi="Helvetica" w:cs="Helvetica"/>
        </w:rPr>
        <w:t>investment from independent third party professional investors of an amount constituting at least the following percentage of the negotiated value of the De-SPAC Target (although the SEHK may accept a lower percentage than 7.5% for De-SPAC Targets with a negotiated value of over HK$10 billion)</w:t>
      </w:r>
      <w:r w:rsidR="007E3829">
        <w:rPr>
          <w:rFonts w:ascii="Helvetica" w:eastAsia="Times New Roman" w:hAnsi="Helvetica" w:cs="Helvetica"/>
        </w:rPr>
        <w:t>.</w:t>
      </w:r>
    </w:p>
    <w:p w14:paraId="101DCD6E" w14:textId="77777777" w:rsidR="00AE312F" w:rsidRPr="00EE59CD" w:rsidRDefault="00AE312F" w:rsidP="00AE312F">
      <w:pPr>
        <w:shd w:val="clear" w:color="auto" w:fill="FFFFFF"/>
        <w:tabs>
          <w:tab w:val="left" w:pos="851"/>
        </w:tabs>
        <w:spacing w:before="139" w:line="209" w:lineRule="exact"/>
        <w:ind w:left="851"/>
        <w:jc w:val="both"/>
        <w:rPr>
          <w:rFonts w:ascii="Helvetica" w:eastAsia="Times New Roman" w:hAnsi="Helvetica" w:cs="Helvetica"/>
        </w:rPr>
      </w:pPr>
    </w:p>
    <w:tbl>
      <w:tblPr>
        <w:tblStyle w:val="a6"/>
        <w:tblW w:w="9356" w:type="dxa"/>
        <w:tblInd w:w="-5" w:type="dxa"/>
        <w:tblLook w:val="04A0" w:firstRow="1" w:lastRow="0" w:firstColumn="1" w:lastColumn="0" w:noHBand="0" w:noVBand="1"/>
      </w:tblPr>
      <w:tblGrid>
        <w:gridCol w:w="5199"/>
        <w:gridCol w:w="4157"/>
      </w:tblGrid>
      <w:tr w:rsidR="00AE312F" w:rsidRPr="00EE59CD" w14:paraId="24C48620" w14:textId="77777777" w:rsidTr="007E3829">
        <w:tc>
          <w:tcPr>
            <w:tcW w:w="5199" w:type="dxa"/>
          </w:tcPr>
          <w:p w14:paraId="625EA789" w14:textId="77777777" w:rsidR="00AE312F" w:rsidRPr="00EE59CD" w:rsidRDefault="00AE312F" w:rsidP="007D47A9">
            <w:pPr>
              <w:tabs>
                <w:tab w:val="left" w:pos="851"/>
              </w:tabs>
              <w:spacing w:before="139" w:line="209" w:lineRule="exact"/>
              <w:jc w:val="center"/>
              <w:rPr>
                <w:rFonts w:ascii="Helvetica" w:eastAsia="Times New Roman" w:hAnsi="Helvetica" w:cs="Helvetica"/>
                <w:b/>
              </w:rPr>
            </w:pPr>
            <w:r w:rsidRPr="00EE59CD">
              <w:rPr>
                <w:rFonts w:ascii="Helvetica" w:eastAsia="Times New Roman" w:hAnsi="Helvetica" w:cs="Helvetica"/>
                <w:b/>
              </w:rPr>
              <w:t>Negotiated value of the De-SPAC Target</w:t>
            </w:r>
            <w:r w:rsidR="007E3829">
              <w:rPr>
                <w:rFonts w:ascii="Helvetica" w:eastAsia="Times New Roman" w:hAnsi="Helvetica" w:cs="Helvetica"/>
                <w:b/>
              </w:rPr>
              <w:t xml:space="preserve"> (A)</w:t>
            </w:r>
          </w:p>
        </w:tc>
        <w:tc>
          <w:tcPr>
            <w:tcW w:w="4157" w:type="dxa"/>
          </w:tcPr>
          <w:p w14:paraId="644E23E9" w14:textId="77777777" w:rsidR="00AE312F" w:rsidRPr="00EE59CD" w:rsidRDefault="00AE312F" w:rsidP="007D47A9">
            <w:pPr>
              <w:tabs>
                <w:tab w:val="left" w:pos="851"/>
              </w:tabs>
              <w:spacing w:before="139" w:line="209" w:lineRule="exact"/>
              <w:jc w:val="center"/>
              <w:rPr>
                <w:rFonts w:ascii="Helvetica" w:eastAsia="Times New Roman" w:hAnsi="Helvetica" w:cs="Helvetica"/>
                <w:b/>
              </w:rPr>
            </w:pPr>
            <w:r w:rsidRPr="00EE59CD">
              <w:rPr>
                <w:rFonts w:ascii="Helvetica" w:eastAsia="Times New Roman" w:hAnsi="Helvetica" w:cs="Helvetica"/>
                <w:b/>
              </w:rPr>
              <w:t>Minimum independent professional party investment</w:t>
            </w:r>
            <w:r w:rsidR="007E3829">
              <w:rPr>
                <w:rFonts w:ascii="Helvetica" w:eastAsia="Times New Roman" w:hAnsi="Helvetica" w:cs="Helvetica"/>
                <w:b/>
              </w:rPr>
              <w:t xml:space="preserve"> as a % of (A)</w:t>
            </w:r>
          </w:p>
        </w:tc>
      </w:tr>
      <w:tr w:rsidR="00AE312F" w:rsidRPr="00EE59CD" w14:paraId="7A0501D0" w14:textId="77777777" w:rsidTr="007E3829">
        <w:tc>
          <w:tcPr>
            <w:tcW w:w="5199" w:type="dxa"/>
          </w:tcPr>
          <w:p w14:paraId="225A435B" w14:textId="77777777" w:rsidR="00AE312F" w:rsidRPr="00EE59CD" w:rsidRDefault="00AE312F" w:rsidP="007D47A9">
            <w:pPr>
              <w:tabs>
                <w:tab w:val="left" w:pos="851"/>
              </w:tabs>
              <w:spacing w:before="139" w:line="209" w:lineRule="exact"/>
              <w:jc w:val="center"/>
              <w:rPr>
                <w:rFonts w:ascii="Helvetica" w:eastAsia="Times New Roman" w:hAnsi="Helvetica" w:cs="Helvetica"/>
              </w:rPr>
            </w:pPr>
            <w:r w:rsidRPr="00EE59CD">
              <w:rPr>
                <w:rFonts w:ascii="Helvetica" w:eastAsia="Times New Roman" w:hAnsi="Helvetica" w:cs="Helvetica"/>
              </w:rPr>
              <w:t>Less than HK$2 billion</w:t>
            </w:r>
          </w:p>
        </w:tc>
        <w:tc>
          <w:tcPr>
            <w:tcW w:w="4157" w:type="dxa"/>
          </w:tcPr>
          <w:p w14:paraId="7BD6C9B4" w14:textId="77777777" w:rsidR="00AE312F" w:rsidRPr="00EE59CD" w:rsidRDefault="00AE312F" w:rsidP="007D47A9">
            <w:pPr>
              <w:tabs>
                <w:tab w:val="left" w:pos="851"/>
              </w:tabs>
              <w:spacing w:before="139" w:line="209" w:lineRule="exact"/>
              <w:jc w:val="center"/>
              <w:rPr>
                <w:rFonts w:ascii="Helvetica" w:eastAsia="Times New Roman" w:hAnsi="Helvetica" w:cs="Helvetica"/>
              </w:rPr>
            </w:pPr>
            <w:r w:rsidRPr="00EE59CD">
              <w:rPr>
                <w:rFonts w:ascii="Helvetica" w:eastAsia="Times New Roman" w:hAnsi="Helvetica" w:cs="Helvetica"/>
              </w:rPr>
              <w:t>25%</w:t>
            </w:r>
          </w:p>
        </w:tc>
      </w:tr>
      <w:tr w:rsidR="00AE312F" w:rsidRPr="00EE59CD" w14:paraId="00D620F2" w14:textId="77777777" w:rsidTr="007E3829">
        <w:tc>
          <w:tcPr>
            <w:tcW w:w="5199" w:type="dxa"/>
          </w:tcPr>
          <w:p w14:paraId="2D23797B" w14:textId="77777777" w:rsidR="00AE312F" w:rsidRPr="00EE59CD" w:rsidRDefault="00AE312F" w:rsidP="007D47A9">
            <w:pPr>
              <w:tabs>
                <w:tab w:val="left" w:pos="851"/>
              </w:tabs>
              <w:spacing w:before="139" w:line="209" w:lineRule="exact"/>
              <w:jc w:val="center"/>
              <w:rPr>
                <w:rFonts w:ascii="Helvetica" w:eastAsia="Times New Roman" w:hAnsi="Helvetica" w:cs="Helvetica"/>
              </w:rPr>
            </w:pPr>
            <w:r w:rsidRPr="00EE59CD">
              <w:rPr>
                <w:rFonts w:ascii="Helvetica" w:eastAsia="Times New Roman" w:hAnsi="Helvetica" w:cs="Helvetica"/>
              </w:rPr>
              <w:t>HK$2 billion or more but less than HK$7 billion</w:t>
            </w:r>
          </w:p>
        </w:tc>
        <w:tc>
          <w:tcPr>
            <w:tcW w:w="4157" w:type="dxa"/>
          </w:tcPr>
          <w:p w14:paraId="44F83355" w14:textId="77777777" w:rsidR="00AE312F" w:rsidRPr="00EE59CD" w:rsidRDefault="00AE312F" w:rsidP="007D47A9">
            <w:pPr>
              <w:tabs>
                <w:tab w:val="left" w:pos="851"/>
              </w:tabs>
              <w:spacing w:before="139" w:line="209" w:lineRule="exact"/>
              <w:jc w:val="center"/>
              <w:rPr>
                <w:rFonts w:ascii="Helvetica" w:eastAsia="Times New Roman" w:hAnsi="Helvetica" w:cs="Helvetica"/>
              </w:rPr>
            </w:pPr>
            <w:r w:rsidRPr="00EE59CD">
              <w:rPr>
                <w:rFonts w:ascii="Helvetica" w:eastAsia="Times New Roman" w:hAnsi="Helvetica" w:cs="Helvetica"/>
              </w:rPr>
              <w:t>15%</w:t>
            </w:r>
          </w:p>
        </w:tc>
      </w:tr>
      <w:tr w:rsidR="00AE312F" w:rsidRPr="00EE59CD" w14:paraId="4E0D146A" w14:textId="77777777" w:rsidTr="007E3829">
        <w:tc>
          <w:tcPr>
            <w:tcW w:w="5199" w:type="dxa"/>
          </w:tcPr>
          <w:p w14:paraId="31BA87F5" w14:textId="77777777" w:rsidR="00AE312F" w:rsidRPr="00EE59CD" w:rsidRDefault="00AE312F" w:rsidP="007D47A9">
            <w:pPr>
              <w:tabs>
                <w:tab w:val="left" w:pos="851"/>
              </w:tabs>
              <w:spacing w:before="139" w:line="209" w:lineRule="exact"/>
              <w:jc w:val="center"/>
              <w:rPr>
                <w:rFonts w:ascii="Helvetica" w:eastAsia="Times New Roman" w:hAnsi="Helvetica" w:cs="Helvetica"/>
              </w:rPr>
            </w:pPr>
            <w:r w:rsidRPr="00EE59CD">
              <w:rPr>
                <w:rFonts w:ascii="Helvetica" w:eastAsia="Times New Roman" w:hAnsi="Helvetica" w:cs="Helvetica"/>
              </w:rPr>
              <w:t>HK$5 billion or more but less than HK$7 billion</w:t>
            </w:r>
          </w:p>
        </w:tc>
        <w:tc>
          <w:tcPr>
            <w:tcW w:w="4157" w:type="dxa"/>
          </w:tcPr>
          <w:p w14:paraId="5BFE83A4" w14:textId="77777777" w:rsidR="00AE312F" w:rsidRPr="00EE59CD" w:rsidRDefault="00AE312F" w:rsidP="007D47A9">
            <w:pPr>
              <w:tabs>
                <w:tab w:val="left" w:pos="851"/>
              </w:tabs>
              <w:spacing w:before="139" w:line="209" w:lineRule="exact"/>
              <w:jc w:val="center"/>
              <w:rPr>
                <w:rFonts w:ascii="Helvetica" w:eastAsia="Times New Roman" w:hAnsi="Helvetica" w:cs="Helvetica"/>
              </w:rPr>
            </w:pPr>
            <w:r w:rsidRPr="00EE59CD">
              <w:rPr>
                <w:rFonts w:ascii="Helvetica" w:eastAsia="Times New Roman" w:hAnsi="Helvetica" w:cs="Helvetica"/>
              </w:rPr>
              <w:t>10%</w:t>
            </w:r>
          </w:p>
        </w:tc>
      </w:tr>
      <w:tr w:rsidR="00AE312F" w:rsidRPr="00EE59CD" w14:paraId="675B01ED" w14:textId="77777777" w:rsidTr="007E3829">
        <w:tc>
          <w:tcPr>
            <w:tcW w:w="5199" w:type="dxa"/>
          </w:tcPr>
          <w:p w14:paraId="66D502F8" w14:textId="77777777" w:rsidR="00AE312F" w:rsidRPr="00EE59CD" w:rsidRDefault="00AE312F" w:rsidP="007D47A9">
            <w:pPr>
              <w:tabs>
                <w:tab w:val="left" w:pos="851"/>
              </w:tabs>
              <w:spacing w:before="139" w:line="209" w:lineRule="exact"/>
              <w:jc w:val="center"/>
              <w:rPr>
                <w:rFonts w:ascii="Helvetica" w:eastAsia="Times New Roman" w:hAnsi="Helvetica" w:cs="Helvetica"/>
                <w:b/>
              </w:rPr>
            </w:pPr>
            <w:r w:rsidRPr="00EE59CD">
              <w:rPr>
                <w:rFonts w:ascii="Helvetica" w:eastAsia="Times New Roman" w:hAnsi="Helvetica" w:cs="Helvetica"/>
              </w:rPr>
              <w:t>HK$7 billion or more</w:t>
            </w:r>
          </w:p>
        </w:tc>
        <w:tc>
          <w:tcPr>
            <w:tcW w:w="4157" w:type="dxa"/>
          </w:tcPr>
          <w:p w14:paraId="14DFC37B" w14:textId="77777777" w:rsidR="00AE312F" w:rsidRPr="00EE59CD" w:rsidRDefault="00AE312F" w:rsidP="007D47A9">
            <w:pPr>
              <w:tabs>
                <w:tab w:val="left" w:pos="851"/>
              </w:tabs>
              <w:spacing w:before="139" w:line="209" w:lineRule="exact"/>
              <w:jc w:val="center"/>
              <w:rPr>
                <w:rFonts w:ascii="Helvetica" w:eastAsia="Times New Roman" w:hAnsi="Helvetica" w:cs="Helvetica"/>
              </w:rPr>
            </w:pPr>
            <w:r w:rsidRPr="00EE59CD">
              <w:rPr>
                <w:rFonts w:ascii="Helvetica" w:eastAsia="Times New Roman" w:hAnsi="Helvetica" w:cs="Helvetica"/>
              </w:rPr>
              <w:t>7.5%</w:t>
            </w:r>
          </w:p>
        </w:tc>
      </w:tr>
    </w:tbl>
    <w:p w14:paraId="2965BC70" w14:textId="77777777" w:rsidR="007E3829" w:rsidRPr="007E3829" w:rsidRDefault="007E3829" w:rsidP="007E3829">
      <w:pPr>
        <w:shd w:val="clear" w:color="auto" w:fill="FFFFFF"/>
        <w:tabs>
          <w:tab w:val="left" w:pos="851"/>
        </w:tabs>
        <w:spacing w:before="139" w:line="209" w:lineRule="exact"/>
        <w:jc w:val="both"/>
        <w:rPr>
          <w:rFonts w:ascii="Helvetica" w:eastAsia="Times New Roman" w:hAnsi="Helvetica" w:cs="Helvetica"/>
          <w:b/>
        </w:rPr>
      </w:pPr>
      <w:r>
        <w:rPr>
          <w:rFonts w:ascii="Helvetica" w:eastAsia="Times New Roman" w:hAnsi="Helvetica" w:cs="Helvetica"/>
          <w:b/>
        </w:rPr>
        <w:t>Minimum Investment by Significant Independent Professional Investor</w:t>
      </w:r>
    </w:p>
    <w:p w14:paraId="3EFAD846" w14:textId="77777777" w:rsidR="007E3829" w:rsidRDefault="007E3829" w:rsidP="007E3829">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T</w:t>
      </w:r>
      <w:r w:rsidR="00AE312F" w:rsidRPr="00EE59CD">
        <w:rPr>
          <w:rFonts w:ascii="Helvetica" w:eastAsia="Times New Roman" w:hAnsi="Helvetica" w:cs="Helvetica"/>
        </w:rPr>
        <w:t>he independent third party investment referred to above must include significant investment from independent sophisticated investors, as defined in guidance published on the SEHK website</w:t>
      </w:r>
      <w:r w:rsidR="000815BE">
        <w:rPr>
          <w:rFonts w:ascii="Helvetica" w:eastAsia="Times New Roman" w:hAnsi="Helvetica" w:cs="Helvetica"/>
        </w:rPr>
        <w:t xml:space="preserve"> (new Listing Rule 18B.42)</w:t>
      </w:r>
      <w:r w:rsidR="00AE312F" w:rsidRPr="00EE59CD">
        <w:rPr>
          <w:rFonts w:ascii="Helvetica" w:eastAsia="Times New Roman" w:hAnsi="Helvetica" w:cs="Helvetica"/>
        </w:rPr>
        <w:t xml:space="preserve">, and result in their beneficial ownership of listed shares in the Successor Company. </w:t>
      </w:r>
      <w:r w:rsidR="000815BE">
        <w:rPr>
          <w:rFonts w:ascii="Helvetica" w:eastAsia="Times New Roman" w:hAnsi="Helvetica" w:cs="Helvetica"/>
        </w:rPr>
        <w:t>According to the SPAC Guidance Letter, t</w:t>
      </w:r>
      <w:r w:rsidR="00AE312F" w:rsidRPr="00EE59CD">
        <w:rPr>
          <w:rFonts w:ascii="Helvetica" w:eastAsia="Times New Roman" w:hAnsi="Helvetica" w:cs="Helvetica"/>
        </w:rPr>
        <w:t>he SEHK will consider the significant investment by sophisticated investors requirement to be met if at least 50% of the value of the required independent third party investment comes from at least three investors which are each an asset management firm with assets under management of at least HK$8 billion or a fund with a fund size of at least HK$8 billion</w:t>
      </w:r>
      <w:r>
        <w:rPr>
          <w:rFonts w:ascii="Helvetica" w:eastAsia="Times New Roman" w:hAnsi="Helvetica" w:cs="Helvetica"/>
        </w:rPr>
        <w:t>.</w:t>
      </w:r>
    </w:p>
    <w:p w14:paraId="3847C920" w14:textId="77777777" w:rsidR="00AE312F" w:rsidRDefault="007E3829" w:rsidP="007E3829">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 xml:space="preserve">In determining the independence of a professional investor in a De-SPAC Transaction, the HKEX will apply the criteria applied to independent financial advisers. </w:t>
      </w:r>
    </w:p>
    <w:p w14:paraId="34FBA658" w14:textId="77777777" w:rsidR="00527DD9" w:rsidRPr="00527DD9" w:rsidRDefault="00527DD9" w:rsidP="00527DD9">
      <w:pPr>
        <w:shd w:val="clear" w:color="auto" w:fill="FFFFFF"/>
        <w:tabs>
          <w:tab w:val="left" w:pos="851"/>
        </w:tabs>
        <w:spacing w:before="139" w:line="209" w:lineRule="exact"/>
        <w:jc w:val="both"/>
        <w:rPr>
          <w:rFonts w:ascii="Helvetica" w:eastAsia="Times New Roman" w:hAnsi="Helvetica" w:cs="Helvetica"/>
          <w:b/>
        </w:rPr>
      </w:pPr>
      <w:r w:rsidRPr="00527DD9">
        <w:rPr>
          <w:rFonts w:ascii="Helvetica" w:eastAsia="Times New Roman" w:hAnsi="Helvetica" w:cs="Helvetica"/>
          <w:b/>
        </w:rPr>
        <w:t>Announcement of the De-SPAC Transaction</w:t>
      </w:r>
    </w:p>
    <w:p w14:paraId="35295004" w14:textId="77777777" w:rsidR="00527DD9" w:rsidRPr="00EE59CD" w:rsidRDefault="00527DD9" w:rsidP="00527DD9">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A</w:t>
      </w:r>
      <w:r w:rsidRPr="00EE59CD">
        <w:rPr>
          <w:rFonts w:ascii="Helvetica" w:eastAsia="Times New Roman" w:hAnsi="Helvetica" w:cs="Helvetica"/>
        </w:rPr>
        <w:t xml:space="preserve"> SPAC will be required to publish a De-SPAC Announcement (i.e. the announcement of the De-SPAC Transaction following finalisation of its terms) within 24 months of its listing date (the “</w:t>
      </w:r>
      <w:r w:rsidRPr="00CE7252">
        <w:rPr>
          <w:rFonts w:ascii="Helvetica" w:eastAsia="Times New Roman" w:hAnsi="Helvetica" w:cs="Helvetica"/>
          <w:b/>
        </w:rPr>
        <w:t>Announcement Deadline</w:t>
      </w:r>
      <w:r w:rsidRPr="00EE59CD">
        <w:rPr>
          <w:rFonts w:ascii="Helvetica" w:eastAsia="Times New Roman" w:hAnsi="Helvetica" w:cs="Helvetica"/>
        </w:rPr>
        <w:t>”)</w:t>
      </w:r>
      <w:r>
        <w:rPr>
          <w:rFonts w:ascii="Helvetica" w:eastAsia="Times New Roman" w:hAnsi="Helvetica" w:cs="Helvetica"/>
        </w:rPr>
        <w:t xml:space="preserve"> (new </w:t>
      </w:r>
      <w:r w:rsidRPr="006C33B1">
        <w:t>Listing Rule 18B.69</w:t>
      </w:r>
      <w:r>
        <w:t>).</w:t>
      </w:r>
    </w:p>
    <w:p w14:paraId="0CEF7F53" w14:textId="77777777" w:rsidR="007E3829" w:rsidRPr="007E3829" w:rsidRDefault="007E3829" w:rsidP="007E3829">
      <w:pPr>
        <w:shd w:val="clear" w:color="auto" w:fill="FFFFFF"/>
        <w:tabs>
          <w:tab w:val="left" w:pos="851"/>
        </w:tabs>
        <w:spacing w:before="139" w:line="209" w:lineRule="exact"/>
        <w:jc w:val="both"/>
        <w:rPr>
          <w:rFonts w:ascii="Helvetica" w:eastAsia="Times New Roman" w:hAnsi="Helvetica" w:cs="Helvetica"/>
          <w:b/>
        </w:rPr>
      </w:pPr>
      <w:r w:rsidRPr="007E3829">
        <w:rPr>
          <w:rFonts w:ascii="Helvetica" w:eastAsia="Times New Roman" w:hAnsi="Helvetica" w:cs="Helvetica"/>
          <w:b/>
        </w:rPr>
        <w:t>Shareholder Approval of De-SPAC Transactions</w:t>
      </w:r>
    </w:p>
    <w:p w14:paraId="5AF44CC5" w14:textId="77777777" w:rsidR="00AE312F" w:rsidRDefault="007E3829" w:rsidP="007E3829">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A</w:t>
      </w:r>
      <w:r w:rsidR="00AE312F" w:rsidRPr="00EE59CD">
        <w:rPr>
          <w:rFonts w:ascii="Helvetica" w:eastAsia="Times New Roman" w:hAnsi="Helvetica" w:cs="Helvetica"/>
        </w:rPr>
        <w:t xml:space="preserve"> De-SPAC Transaction must be conditional on approval by the SPAC’s shareholders in general meeting. SPAC Promoters and other shareholders with a material interest in the transaction, and their close associates, will be required to abstain from voting and any outgoing controlling shareholders of the SPAC and their close associates will be prohibited from voting in favour of the resolution approving the De-SPAC Transaction</w:t>
      </w:r>
      <w:r>
        <w:rPr>
          <w:rFonts w:ascii="Helvetica" w:eastAsia="Times New Roman" w:hAnsi="Helvetica" w:cs="Helvetica"/>
        </w:rPr>
        <w:t>.</w:t>
      </w:r>
    </w:p>
    <w:p w14:paraId="6932158E" w14:textId="77777777" w:rsidR="00666CB5" w:rsidRDefault="00666CB5" w:rsidP="007E3829">
      <w:pPr>
        <w:shd w:val="clear" w:color="auto" w:fill="FFFFFF"/>
        <w:tabs>
          <w:tab w:val="left" w:pos="851"/>
        </w:tabs>
        <w:spacing w:before="139" w:line="209" w:lineRule="exact"/>
        <w:jc w:val="both"/>
        <w:rPr>
          <w:rFonts w:ascii="Helvetica" w:eastAsia="Times New Roman" w:hAnsi="Helvetica" w:cs="Helvetica"/>
          <w:b/>
        </w:rPr>
      </w:pPr>
      <w:r w:rsidRPr="00666CB5">
        <w:rPr>
          <w:rFonts w:ascii="Helvetica" w:eastAsia="Times New Roman" w:hAnsi="Helvetica" w:cs="Helvetica"/>
          <w:b/>
        </w:rPr>
        <w:t>Completion Deadline for De-SPAC Transaction</w:t>
      </w:r>
      <w:r>
        <w:rPr>
          <w:rFonts w:ascii="Helvetica" w:eastAsia="Times New Roman" w:hAnsi="Helvetica" w:cs="Helvetica"/>
          <w:b/>
        </w:rPr>
        <w:t>s</w:t>
      </w:r>
    </w:p>
    <w:p w14:paraId="4171C952" w14:textId="77777777" w:rsidR="00666CB5" w:rsidRPr="00EE59CD" w:rsidRDefault="00666CB5" w:rsidP="00666CB5">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A</w:t>
      </w:r>
      <w:r w:rsidRPr="00EE59CD">
        <w:rPr>
          <w:rFonts w:ascii="Helvetica" w:eastAsia="Times New Roman" w:hAnsi="Helvetica" w:cs="Helvetica"/>
        </w:rPr>
        <w:t xml:space="preserve"> SPAC will have to complete a De-SPAC Transaction within 36 months of its listing date (the “</w:t>
      </w:r>
      <w:r w:rsidRPr="00666CB5">
        <w:rPr>
          <w:rFonts w:ascii="Helvetica" w:eastAsia="Times New Roman" w:hAnsi="Helvetica" w:cs="Helvetica"/>
          <w:b/>
        </w:rPr>
        <w:t>Transaction Deadline</w:t>
      </w:r>
      <w:r w:rsidRPr="00EE59CD">
        <w:rPr>
          <w:rFonts w:ascii="Helvetica" w:eastAsia="Times New Roman" w:hAnsi="Helvetica" w:cs="Helvetica"/>
        </w:rPr>
        <w:t>”)</w:t>
      </w:r>
      <w:r>
        <w:rPr>
          <w:rFonts w:ascii="Helvetica" w:eastAsia="Times New Roman" w:hAnsi="Helvetica" w:cs="Helvetica"/>
        </w:rPr>
        <w:t xml:space="preserve"> (</w:t>
      </w:r>
      <w:r w:rsidRPr="00666CB5">
        <w:rPr>
          <w:rFonts w:ascii="Helvetica" w:eastAsia="Times New Roman" w:hAnsi="Helvetica" w:cs="Helvetica"/>
        </w:rPr>
        <w:t>new Listing Rule 18B.70</w:t>
      </w:r>
      <w:r>
        <w:rPr>
          <w:rFonts w:ascii="Helvetica" w:eastAsia="Times New Roman" w:hAnsi="Helvetica" w:cs="Helvetica"/>
        </w:rPr>
        <w:t>).</w:t>
      </w:r>
    </w:p>
    <w:p w14:paraId="4545155F" w14:textId="77777777" w:rsidR="00666CB5" w:rsidRPr="00666CB5" w:rsidRDefault="00666CB5" w:rsidP="007E3829">
      <w:pPr>
        <w:shd w:val="clear" w:color="auto" w:fill="FFFFFF"/>
        <w:tabs>
          <w:tab w:val="left" w:pos="851"/>
        </w:tabs>
        <w:spacing w:before="139" w:line="209" w:lineRule="exact"/>
        <w:jc w:val="both"/>
        <w:rPr>
          <w:rFonts w:ascii="Helvetica" w:eastAsia="Times New Roman" w:hAnsi="Helvetica" w:cs="Helvetica"/>
          <w:b/>
        </w:rPr>
      </w:pPr>
      <w:r w:rsidRPr="00666CB5">
        <w:rPr>
          <w:rFonts w:ascii="Helvetica" w:eastAsia="Times New Roman" w:hAnsi="Helvetica" w:cs="Helvetica"/>
          <w:b/>
        </w:rPr>
        <w:t xml:space="preserve">Extension of SPAC Announcement or Transaction Deadline </w:t>
      </w:r>
    </w:p>
    <w:p w14:paraId="0651BB67" w14:textId="77777777" w:rsidR="00666CB5" w:rsidRDefault="00666CB5" w:rsidP="00666CB5">
      <w:pPr>
        <w:shd w:val="clear" w:color="auto" w:fill="FFFFFF"/>
        <w:tabs>
          <w:tab w:val="left" w:pos="851"/>
        </w:tabs>
        <w:spacing w:before="139" w:line="209" w:lineRule="exact"/>
        <w:jc w:val="both"/>
        <w:rPr>
          <w:rFonts w:ascii="Helvetica" w:eastAsia="Times New Roman" w:hAnsi="Helvetica" w:cs="Helvetica"/>
        </w:rPr>
      </w:pPr>
      <w:r w:rsidRPr="00EE59CD">
        <w:rPr>
          <w:rFonts w:ascii="Helvetica" w:eastAsia="Times New Roman" w:hAnsi="Helvetica" w:cs="Helvetica"/>
        </w:rPr>
        <w:t xml:space="preserve">SPACs will be allowed to request a six-month extension of either the Announcement Deadline or the Transaction Deadline. The extension must be approved by an ordinary resolution of the SPAC’s shareholders in general meeting at which SPAC Promoters and their close associates will be </w:t>
      </w:r>
      <w:r>
        <w:rPr>
          <w:rFonts w:ascii="Helvetica" w:eastAsia="Times New Roman" w:hAnsi="Helvetica" w:cs="Helvetica"/>
        </w:rPr>
        <w:t>required to abstain from voting.</w:t>
      </w:r>
    </w:p>
    <w:p w14:paraId="088F0263" w14:textId="77777777" w:rsidR="00666CB5" w:rsidRPr="00EE59CD" w:rsidRDefault="00666CB5" w:rsidP="00666CB5">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P</w:t>
      </w:r>
      <w:r w:rsidRPr="00EE59CD">
        <w:rPr>
          <w:rFonts w:ascii="Helvetica" w:eastAsia="Times New Roman" w:hAnsi="Helvetica" w:cs="Helvetica"/>
        </w:rPr>
        <w:t>rior to the general meeting to approve the extension of either the Announcement Deadline or the Transaction Deadline, shareholders must be given the opportunity to redeem all or part of their shareholdings at the price at which the shares were issued in the SPAC’s IPO</w:t>
      </w:r>
      <w:r>
        <w:rPr>
          <w:rFonts w:ascii="Helvetica" w:eastAsia="Times New Roman" w:hAnsi="Helvetica" w:cs="Helvetica"/>
        </w:rPr>
        <w:t>.</w:t>
      </w:r>
    </w:p>
    <w:p w14:paraId="715B4AA2" w14:textId="77777777" w:rsidR="00527DD9" w:rsidRDefault="00527DD9" w:rsidP="00527DD9">
      <w:pPr>
        <w:shd w:val="clear" w:color="auto" w:fill="FFFFFF"/>
        <w:tabs>
          <w:tab w:val="left" w:pos="851"/>
        </w:tabs>
        <w:spacing w:before="139" w:line="209" w:lineRule="exact"/>
        <w:jc w:val="both"/>
        <w:rPr>
          <w:rFonts w:ascii="Helvetica" w:eastAsia="Times New Roman" w:hAnsi="Helvetica" w:cs="Helvetica"/>
          <w:b/>
        </w:rPr>
      </w:pPr>
      <w:r w:rsidRPr="00CE7252">
        <w:rPr>
          <w:rFonts w:ascii="Helvetica" w:eastAsia="Times New Roman" w:hAnsi="Helvetica" w:cs="Helvetica"/>
          <w:b/>
        </w:rPr>
        <w:t>De-SPAC Transactions involving Connected De-SPAC Targets</w:t>
      </w:r>
    </w:p>
    <w:p w14:paraId="564B0B4E" w14:textId="77777777" w:rsidR="00527DD9" w:rsidRDefault="00527DD9" w:rsidP="00527DD9">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Where a De-SPAC Transaction is a connected transaction under Chapter 14A of the HKEX Listing Rules, the SPAC will be required to comply with the requirements for</w:t>
      </w:r>
      <w:r w:rsidRPr="00CE7252">
        <w:rPr>
          <w:rFonts w:ascii="Helvetica" w:eastAsia="Times New Roman" w:hAnsi="Helvetica" w:cs="Helvetica"/>
        </w:rPr>
        <w:t xml:space="preserve"> </w:t>
      </w:r>
      <w:r>
        <w:rPr>
          <w:rFonts w:ascii="Helvetica" w:eastAsia="Times New Roman" w:hAnsi="Helvetica" w:cs="Helvetica"/>
        </w:rPr>
        <w:t>connected transactions under that Chapter and the SPAC will additionally need to:</w:t>
      </w:r>
    </w:p>
    <w:p w14:paraId="17FDA341" w14:textId="77777777" w:rsidR="00527DD9" w:rsidRDefault="00527DD9" w:rsidP="00527DD9">
      <w:pPr>
        <w:pStyle w:val="a8"/>
        <w:numPr>
          <w:ilvl w:val="0"/>
          <w:numId w:val="6"/>
        </w:numPr>
        <w:shd w:val="clear" w:color="auto" w:fill="FFFFFF"/>
        <w:tabs>
          <w:tab w:val="left" w:pos="851"/>
        </w:tabs>
        <w:spacing w:before="139" w:line="209" w:lineRule="exact"/>
        <w:ind w:left="851" w:hanging="425"/>
        <w:jc w:val="both"/>
        <w:rPr>
          <w:rFonts w:ascii="Helvetica" w:eastAsia="Times New Roman" w:hAnsi="Helvetica" w:cs="Helvetica"/>
        </w:rPr>
      </w:pPr>
      <w:r>
        <w:rPr>
          <w:rFonts w:ascii="Helvetica" w:eastAsia="Times New Roman" w:hAnsi="Helvetica" w:cs="Helvetica"/>
        </w:rPr>
        <w:t>demonstrate that minimal conflicts of interest exist in relation to the proposed transaction;</w:t>
      </w:r>
    </w:p>
    <w:p w14:paraId="786CA803" w14:textId="77777777" w:rsidR="00527DD9" w:rsidRDefault="00527DD9" w:rsidP="00527DD9">
      <w:pPr>
        <w:pStyle w:val="a8"/>
        <w:shd w:val="clear" w:color="auto" w:fill="FFFFFF"/>
        <w:tabs>
          <w:tab w:val="left" w:pos="851"/>
        </w:tabs>
        <w:spacing w:before="139" w:line="209" w:lineRule="exact"/>
        <w:ind w:left="851"/>
        <w:jc w:val="both"/>
        <w:rPr>
          <w:rFonts w:ascii="Helvetica" w:eastAsia="Times New Roman" w:hAnsi="Helvetica" w:cs="Helvetica"/>
        </w:rPr>
      </w:pPr>
    </w:p>
    <w:p w14:paraId="7B766C27" w14:textId="77777777" w:rsidR="00527DD9" w:rsidRDefault="00527DD9" w:rsidP="00527DD9">
      <w:pPr>
        <w:pStyle w:val="a8"/>
        <w:numPr>
          <w:ilvl w:val="0"/>
          <w:numId w:val="6"/>
        </w:numPr>
        <w:shd w:val="clear" w:color="auto" w:fill="FFFFFF"/>
        <w:tabs>
          <w:tab w:val="left" w:pos="851"/>
        </w:tabs>
        <w:spacing w:before="139" w:line="209" w:lineRule="exact"/>
        <w:ind w:left="851" w:hanging="425"/>
        <w:jc w:val="both"/>
        <w:rPr>
          <w:rFonts w:ascii="Helvetica" w:eastAsia="Times New Roman" w:hAnsi="Helvetica" w:cs="Helvetica"/>
        </w:rPr>
      </w:pPr>
      <w:r>
        <w:rPr>
          <w:rFonts w:ascii="Helvetica" w:eastAsia="Times New Roman" w:hAnsi="Helvetica" w:cs="Helvetica"/>
        </w:rPr>
        <w:t>support its claim that the transaction would be on an arm’s length basis with adequate reasons; and</w:t>
      </w:r>
    </w:p>
    <w:p w14:paraId="0920181F" w14:textId="77777777" w:rsidR="00527DD9" w:rsidRPr="00527DD9" w:rsidRDefault="00527DD9" w:rsidP="00527DD9">
      <w:pPr>
        <w:pStyle w:val="a8"/>
        <w:rPr>
          <w:rFonts w:ascii="Helvetica" w:eastAsia="Times New Roman" w:hAnsi="Helvetica" w:cs="Helvetica"/>
        </w:rPr>
      </w:pPr>
    </w:p>
    <w:p w14:paraId="2F4A0BCB" w14:textId="77777777" w:rsidR="00527DD9" w:rsidRPr="00527DD9" w:rsidRDefault="00527DD9" w:rsidP="00527DD9">
      <w:pPr>
        <w:pStyle w:val="a8"/>
        <w:numPr>
          <w:ilvl w:val="0"/>
          <w:numId w:val="6"/>
        </w:numPr>
        <w:shd w:val="clear" w:color="auto" w:fill="FFFFFF"/>
        <w:tabs>
          <w:tab w:val="left" w:pos="851"/>
        </w:tabs>
        <w:spacing w:before="139" w:line="209" w:lineRule="exact"/>
        <w:ind w:left="851" w:hanging="425"/>
        <w:jc w:val="both"/>
        <w:rPr>
          <w:rFonts w:ascii="Helvetica" w:eastAsia="Times New Roman" w:hAnsi="Helvetica" w:cs="Helvetica"/>
        </w:rPr>
      </w:pPr>
      <w:r>
        <w:rPr>
          <w:rFonts w:ascii="Helvetica" w:eastAsia="Times New Roman" w:hAnsi="Helvetica" w:cs="Helvetica"/>
        </w:rPr>
        <w:t>include an independent valuation of the transaction in the SPAC’s listing document.</w:t>
      </w:r>
    </w:p>
    <w:p w14:paraId="46B33CDE" w14:textId="77777777" w:rsidR="007E3829" w:rsidRDefault="006C33B1" w:rsidP="007E3829">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b/>
        </w:rPr>
        <w:lastRenderedPageBreak/>
        <w:t>Share</w:t>
      </w:r>
      <w:r w:rsidRPr="006C33B1">
        <w:rPr>
          <w:rFonts w:ascii="Helvetica" w:eastAsia="Times New Roman" w:hAnsi="Helvetica" w:cs="Helvetica"/>
          <w:b/>
        </w:rPr>
        <w:t xml:space="preserve"> R</w:t>
      </w:r>
      <w:r w:rsidR="007E3829" w:rsidRPr="006C33B1">
        <w:rPr>
          <w:rFonts w:ascii="Helvetica" w:eastAsia="Times New Roman" w:hAnsi="Helvetica" w:cs="Helvetica"/>
          <w:b/>
        </w:rPr>
        <w:t>edemption</w:t>
      </w:r>
      <w:r w:rsidRPr="006C33B1">
        <w:rPr>
          <w:rFonts w:ascii="Helvetica" w:eastAsia="Times New Roman" w:hAnsi="Helvetica" w:cs="Helvetica"/>
          <w:b/>
        </w:rPr>
        <w:t>s</w:t>
      </w:r>
    </w:p>
    <w:p w14:paraId="6532ED7C" w14:textId="2D7C0E20" w:rsidR="00AE312F" w:rsidRPr="00EE59CD" w:rsidRDefault="00FE5109" w:rsidP="007E3829">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A</w:t>
      </w:r>
      <w:r w:rsidRPr="00EE59CD">
        <w:rPr>
          <w:rFonts w:ascii="Helvetica" w:eastAsia="Times New Roman" w:hAnsi="Helvetica" w:cs="Helvetica"/>
        </w:rPr>
        <w:t xml:space="preserve"> SPAC will have to provide its shareholders with the opportunity to redeem all or part of their shareholdings </w:t>
      </w:r>
      <w:r>
        <w:rPr>
          <w:rFonts w:ascii="Helvetica" w:eastAsia="Times New Roman" w:hAnsi="Helvetica" w:cs="Helvetica"/>
        </w:rPr>
        <w:t xml:space="preserve">for an amount which must not be less than </w:t>
      </w:r>
      <w:r w:rsidRPr="00EE59CD">
        <w:rPr>
          <w:rFonts w:ascii="Helvetica" w:eastAsia="Times New Roman" w:hAnsi="Helvetica" w:cs="Helvetica"/>
        </w:rPr>
        <w:t>the price at which the shares were issued in the SPAC’s IPO prior to a general meeting to approve any of the following:</w:t>
      </w:r>
      <w:r w:rsidR="00AE312F" w:rsidRPr="00EE59CD">
        <w:rPr>
          <w:rFonts w:ascii="Helvetica" w:eastAsia="Times New Roman" w:hAnsi="Helvetica" w:cs="Helvetica"/>
        </w:rPr>
        <w:t xml:space="preserve"> </w:t>
      </w:r>
    </w:p>
    <w:p w14:paraId="6DCD89E8" w14:textId="77777777" w:rsidR="00AE312F" w:rsidRPr="00EE59CD" w:rsidRDefault="00AE312F" w:rsidP="007E3829">
      <w:pPr>
        <w:numPr>
          <w:ilvl w:val="0"/>
          <w:numId w:val="2"/>
        </w:numPr>
        <w:shd w:val="clear" w:color="auto" w:fill="FFFFFF"/>
        <w:tabs>
          <w:tab w:val="left" w:pos="851"/>
        </w:tabs>
        <w:spacing w:before="139" w:line="209" w:lineRule="exact"/>
        <w:ind w:hanging="1145"/>
        <w:jc w:val="both"/>
        <w:rPr>
          <w:rFonts w:ascii="Helvetica" w:eastAsia="Times New Roman" w:hAnsi="Helvetica" w:cs="Helvetica"/>
        </w:rPr>
      </w:pPr>
      <w:r w:rsidRPr="00EE59CD">
        <w:rPr>
          <w:rFonts w:ascii="Helvetica" w:eastAsia="Times New Roman" w:hAnsi="Helvetica" w:cs="Helvetica"/>
        </w:rPr>
        <w:t xml:space="preserve">a De-SPAC Transaction; </w:t>
      </w:r>
    </w:p>
    <w:p w14:paraId="01307DA6" w14:textId="77777777" w:rsidR="00AE312F" w:rsidRPr="00EE59CD" w:rsidRDefault="00AE312F" w:rsidP="007E3829">
      <w:pPr>
        <w:numPr>
          <w:ilvl w:val="0"/>
          <w:numId w:val="2"/>
        </w:numPr>
        <w:shd w:val="clear" w:color="auto" w:fill="FFFFFF"/>
        <w:tabs>
          <w:tab w:val="left" w:pos="851"/>
        </w:tabs>
        <w:spacing w:before="139" w:line="209" w:lineRule="exact"/>
        <w:ind w:hanging="1145"/>
        <w:jc w:val="both"/>
        <w:rPr>
          <w:rFonts w:ascii="Helvetica" w:eastAsia="Times New Roman" w:hAnsi="Helvetica" w:cs="Helvetica"/>
        </w:rPr>
      </w:pPr>
      <w:r w:rsidRPr="00EE59CD">
        <w:rPr>
          <w:rFonts w:ascii="Helvetica" w:eastAsia="Times New Roman" w:hAnsi="Helvetica" w:cs="Helvetica"/>
        </w:rPr>
        <w:t xml:space="preserve">a material change in a SPAC Promoter; or </w:t>
      </w:r>
    </w:p>
    <w:p w14:paraId="3C51003A" w14:textId="77777777" w:rsidR="00AE312F" w:rsidRPr="00EE59CD" w:rsidRDefault="00AE312F" w:rsidP="004D3E12">
      <w:pPr>
        <w:numPr>
          <w:ilvl w:val="0"/>
          <w:numId w:val="2"/>
        </w:numPr>
        <w:shd w:val="clear" w:color="auto" w:fill="FFFFFF"/>
        <w:tabs>
          <w:tab w:val="left" w:pos="851"/>
        </w:tabs>
        <w:spacing w:before="139" w:line="209" w:lineRule="exact"/>
        <w:ind w:left="851" w:hanging="425"/>
        <w:jc w:val="both"/>
        <w:rPr>
          <w:rFonts w:ascii="Helvetica" w:eastAsia="Times New Roman" w:hAnsi="Helvetica" w:cs="Helvetica"/>
        </w:rPr>
      </w:pPr>
      <w:r w:rsidRPr="00EE59CD">
        <w:rPr>
          <w:rFonts w:ascii="Helvetica" w:eastAsia="Times New Roman" w:hAnsi="Helvetica" w:cs="Helvetica"/>
        </w:rPr>
        <w:t>any extension to the deadlines for announcing or completing a De-SPAC Transaction</w:t>
      </w:r>
      <w:r w:rsidR="004D3E12">
        <w:rPr>
          <w:rFonts w:ascii="Helvetica" w:eastAsia="Times New Roman" w:hAnsi="Helvetica" w:cs="Helvetica"/>
        </w:rPr>
        <w:t xml:space="preserve"> (new Listing Rule 18B.57)</w:t>
      </w:r>
      <w:r w:rsidRPr="00EE59CD">
        <w:rPr>
          <w:rFonts w:ascii="Helvetica" w:eastAsia="Times New Roman" w:hAnsi="Helvetica" w:cs="Helvetica"/>
        </w:rPr>
        <w:t>.</w:t>
      </w:r>
      <w:r w:rsidRPr="006C33B1">
        <w:rPr>
          <w:rStyle w:val="a5"/>
          <w:rFonts w:cs="Helvetica"/>
        </w:rPr>
        <w:t xml:space="preserve"> </w:t>
      </w:r>
    </w:p>
    <w:p w14:paraId="0A829062" w14:textId="77777777" w:rsidR="00666CB5" w:rsidRDefault="00666CB5" w:rsidP="00666CB5">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SPAC Shares that are redeemed must be cancelled (Listing Rule 18B.62). In addition to announcing the voting results of a general meeting,</w:t>
      </w:r>
      <w:r>
        <w:rPr>
          <w:rStyle w:val="a5"/>
          <w:rFonts w:ascii="Helvetica" w:eastAsia="Times New Roman" w:hAnsi="Helvetica"/>
        </w:rPr>
        <w:footnoteReference w:id="5"/>
      </w:r>
      <w:r>
        <w:rPr>
          <w:rFonts w:ascii="Helvetica" w:eastAsia="Times New Roman" w:hAnsi="Helvetica" w:cs="Helvetica"/>
        </w:rPr>
        <w:t xml:space="preserve"> a SPAC must also announce the amount of share redemption as soon as practicable after the meeting.</w:t>
      </w:r>
    </w:p>
    <w:p w14:paraId="4DE9C057" w14:textId="77777777" w:rsidR="00506AC0" w:rsidRPr="00506AC0" w:rsidRDefault="00506AC0" w:rsidP="006C33B1">
      <w:pPr>
        <w:shd w:val="clear" w:color="auto" w:fill="FFFFFF"/>
        <w:tabs>
          <w:tab w:val="left" w:pos="851"/>
          <w:tab w:val="left" w:pos="1276"/>
        </w:tabs>
        <w:spacing w:before="139" w:line="209" w:lineRule="exact"/>
        <w:jc w:val="both"/>
        <w:rPr>
          <w:rFonts w:ascii="Helvetica" w:eastAsia="Times New Roman" w:hAnsi="Helvetica" w:cs="Helvetica"/>
          <w:b/>
        </w:rPr>
      </w:pPr>
      <w:r w:rsidRPr="00506AC0">
        <w:rPr>
          <w:rFonts w:ascii="Helvetica" w:eastAsia="Times New Roman" w:hAnsi="Helvetica" w:cs="Helvetica"/>
          <w:b/>
        </w:rPr>
        <w:t>Open Market in Successor Company’s Shares</w:t>
      </w:r>
    </w:p>
    <w:p w14:paraId="1B84A10D" w14:textId="77777777" w:rsidR="00AE312F" w:rsidRPr="00EE59CD" w:rsidRDefault="00506AC0" w:rsidP="00506AC0">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O</w:t>
      </w:r>
      <w:r w:rsidR="00AE312F" w:rsidRPr="00EE59CD">
        <w:rPr>
          <w:rFonts w:ascii="Helvetica" w:eastAsia="Times New Roman" w:hAnsi="Helvetica" w:cs="Helvetica"/>
        </w:rPr>
        <w:t>n the listing of the Successor Company, the minimum number of shareholders required at listing will be reduced from 300 to 100</w:t>
      </w:r>
      <w:r>
        <w:rPr>
          <w:rFonts w:ascii="Helvetica" w:eastAsia="Times New Roman" w:hAnsi="Helvetica" w:cs="Helvetica"/>
        </w:rPr>
        <w:t xml:space="preserve"> (</w:t>
      </w:r>
      <w:r w:rsidRPr="006C33B1">
        <w:t>new Listing Rule 18B.65</w:t>
      </w:r>
      <w:r>
        <w:t>).</w:t>
      </w:r>
    </w:p>
    <w:p w14:paraId="4A232239" w14:textId="77777777" w:rsidR="00506AC0" w:rsidRPr="00506AC0" w:rsidRDefault="00506AC0" w:rsidP="00506AC0">
      <w:pPr>
        <w:shd w:val="clear" w:color="auto" w:fill="FFFFFF"/>
        <w:tabs>
          <w:tab w:val="left" w:pos="851"/>
        </w:tabs>
        <w:spacing w:before="139" w:line="209" w:lineRule="exact"/>
        <w:jc w:val="both"/>
        <w:rPr>
          <w:rFonts w:ascii="Helvetica" w:eastAsia="Times New Roman" w:hAnsi="Helvetica" w:cs="Helvetica"/>
          <w:b/>
        </w:rPr>
      </w:pPr>
      <w:r w:rsidRPr="00506AC0">
        <w:rPr>
          <w:rFonts w:ascii="Helvetica" w:eastAsia="Times New Roman" w:hAnsi="Helvetica" w:cs="Helvetica"/>
          <w:b/>
        </w:rPr>
        <w:t xml:space="preserve">SPAC Promoter Lock-up </w:t>
      </w:r>
    </w:p>
    <w:p w14:paraId="40E4CEE1" w14:textId="77777777" w:rsidR="00AE312F" w:rsidRDefault="00AE312F" w:rsidP="00506AC0">
      <w:pPr>
        <w:shd w:val="clear" w:color="auto" w:fill="FFFFFF"/>
        <w:tabs>
          <w:tab w:val="left" w:pos="851"/>
        </w:tabs>
        <w:spacing w:before="139" w:line="209" w:lineRule="exact"/>
        <w:jc w:val="both"/>
        <w:rPr>
          <w:rFonts w:ascii="Helvetica" w:eastAsia="Times New Roman" w:hAnsi="Helvetica" w:cs="Helvetica"/>
        </w:rPr>
      </w:pPr>
      <w:r w:rsidRPr="00EE59CD">
        <w:rPr>
          <w:rFonts w:ascii="Helvetica" w:eastAsia="Times New Roman" w:hAnsi="Helvetica" w:cs="Helvetica"/>
        </w:rPr>
        <w:t xml:space="preserve">SPAC Promoters will be subject to a </w:t>
      </w:r>
      <w:r w:rsidR="00506AC0">
        <w:rPr>
          <w:rFonts w:ascii="Helvetica" w:eastAsia="Times New Roman" w:hAnsi="Helvetica" w:cs="Helvetica"/>
        </w:rPr>
        <w:t xml:space="preserve">restriction on the disposal of their holdings in the Successor Company (which will apply to their Promoter Shares and Promoter Warrants and any securities resulting from the conversion or exercise of Promoter Shares, Promoter Warrants and earn-out rights) for 12 </w:t>
      </w:r>
      <w:r w:rsidRPr="00EE59CD">
        <w:rPr>
          <w:rFonts w:ascii="Helvetica" w:eastAsia="Times New Roman" w:hAnsi="Helvetica" w:cs="Helvetica"/>
        </w:rPr>
        <w:t>month</w:t>
      </w:r>
      <w:r w:rsidR="00506AC0">
        <w:rPr>
          <w:rFonts w:ascii="Helvetica" w:eastAsia="Times New Roman" w:hAnsi="Helvetica" w:cs="Helvetica"/>
        </w:rPr>
        <w:t xml:space="preserve">s from the date of completion of the </w:t>
      </w:r>
      <w:r w:rsidRPr="00EE59CD">
        <w:rPr>
          <w:rFonts w:ascii="Helvetica" w:eastAsia="Times New Roman" w:hAnsi="Helvetica" w:cs="Helvetica"/>
        </w:rPr>
        <w:t>De-SPAC Transaction</w:t>
      </w:r>
      <w:r w:rsidR="00506AC0">
        <w:rPr>
          <w:rFonts w:ascii="Helvetica" w:eastAsia="Times New Roman" w:hAnsi="Helvetica" w:cs="Helvetica"/>
        </w:rPr>
        <w:t xml:space="preserve"> (</w:t>
      </w:r>
      <w:r w:rsidR="00506AC0" w:rsidRPr="006C33B1">
        <w:t>new Listing Rule 18B.66</w:t>
      </w:r>
      <w:r w:rsidR="00506AC0">
        <w:t>)</w:t>
      </w:r>
      <w:r w:rsidRPr="00EE59CD">
        <w:rPr>
          <w:rFonts w:ascii="Helvetica" w:eastAsia="Times New Roman" w:hAnsi="Helvetica" w:cs="Helvetica"/>
        </w:rPr>
        <w:t>.</w:t>
      </w:r>
    </w:p>
    <w:p w14:paraId="24E17657" w14:textId="77777777" w:rsidR="00506AC0" w:rsidRPr="00506AC0" w:rsidRDefault="00506AC0" w:rsidP="00506AC0">
      <w:pPr>
        <w:shd w:val="clear" w:color="auto" w:fill="FFFFFF"/>
        <w:tabs>
          <w:tab w:val="left" w:pos="851"/>
        </w:tabs>
        <w:spacing w:before="139" w:line="209" w:lineRule="exact"/>
        <w:jc w:val="both"/>
        <w:rPr>
          <w:rFonts w:ascii="Helvetica" w:eastAsia="Times New Roman" w:hAnsi="Helvetica" w:cs="Helvetica"/>
          <w:b/>
        </w:rPr>
      </w:pPr>
      <w:r>
        <w:rPr>
          <w:rFonts w:ascii="Helvetica" w:eastAsia="Times New Roman" w:hAnsi="Helvetica" w:cs="Helvetica"/>
          <w:b/>
        </w:rPr>
        <w:t>Controlling Shareholder Lock-up</w:t>
      </w:r>
    </w:p>
    <w:p w14:paraId="7885B0F5" w14:textId="77777777" w:rsidR="00666CB5" w:rsidRDefault="00666CB5" w:rsidP="006C33B1">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The</w:t>
      </w:r>
      <w:r w:rsidR="00506AC0">
        <w:rPr>
          <w:rFonts w:ascii="Helvetica" w:eastAsia="Times New Roman" w:hAnsi="Helvetica" w:cs="Helvetica"/>
        </w:rPr>
        <w:t xml:space="preserve"> controlling shareholder</w:t>
      </w:r>
      <w:r>
        <w:rPr>
          <w:rFonts w:ascii="Helvetica" w:eastAsia="Times New Roman" w:hAnsi="Helvetica" w:cs="Helvetica"/>
        </w:rPr>
        <w:t>(s)</w:t>
      </w:r>
      <w:r w:rsidR="00506AC0">
        <w:rPr>
          <w:rFonts w:ascii="Helvetica" w:eastAsia="Times New Roman" w:hAnsi="Helvetica" w:cs="Helvetica"/>
        </w:rPr>
        <w:t xml:space="preserve"> of a Successor Company will be subject </w:t>
      </w:r>
      <w:r>
        <w:rPr>
          <w:rFonts w:ascii="Helvetica" w:eastAsia="Times New Roman" w:hAnsi="Helvetica" w:cs="Helvetica"/>
        </w:rPr>
        <w:t>to the lock-up provisions of Listing Rule 10.07 with respect to disposals of their shareholdings in the Successor Company following its listing.</w:t>
      </w:r>
    </w:p>
    <w:p w14:paraId="3BE2A08A" w14:textId="77777777" w:rsidR="006C33B1" w:rsidRPr="00666CB5" w:rsidRDefault="00666CB5" w:rsidP="006C33B1">
      <w:pPr>
        <w:shd w:val="clear" w:color="auto" w:fill="FFFFFF"/>
        <w:tabs>
          <w:tab w:val="left" w:pos="851"/>
        </w:tabs>
        <w:spacing w:before="139" w:line="209" w:lineRule="exact"/>
        <w:jc w:val="both"/>
        <w:rPr>
          <w:rFonts w:ascii="Helvetica" w:eastAsia="Times New Roman" w:hAnsi="Helvetica" w:cs="Helvetica"/>
          <w:b/>
          <w:color w:val="FF0000"/>
        </w:rPr>
      </w:pPr>
      <w:r w:rsidRPr="00666CB5">
        <w:rPr>
          <w:rFonts w:ascii="Helvetica" w:eastAsia="Times New Roman" w:hAnsi="Helvetica" w:cs="Helvetica"/>
          <w:b/>
          <w:color w:val="FF0000"/>
        </w:rPr>
        <w:t xml:space="preserve">De-Listing </w:t>
      </w:r>
    </w:p>
    <w:p w14:paraId="00359997" w14:textId="77777777" w:rsidR="00666CB5" w:rsidRDefault="00666CB5" w:rsidP="00666CB5">
      <w:pPr>
        <w:shd w:val="clear" w:color="auto" w:fill="FFFFFF"/>
        <w:tabs>
          <w:tab w:val="left" w:pos="851"/>
        </w:tabs>
        <w:spacing w:before="139" w:line="209" w:lineRule="exact"/>
        <w:jc w:val="both"/>
        <w:rPr>
          <w:rFonts w:ascii="Helvetica" w:eastAsia="Times New Roman" w:hAnsi="Helvetica" w:cs="Helvetica"/>
        </w:rPr>
      </w:pPr>
      <w:r>
        <w:rPr>
          <w:rFonts w:ascii="Helvetica" w:eastAsia="Times New Roman" w:hAnsi="Helvetica" w:cs="Helvetica"/>
        </w:rPr>
        <w:t>T</w:t>
      </w:r>
      <w:r w:rsidR="00AE312F" w:rsidRPr="00EE59CD">
        <w:rPr>
          <w:rFonts w:ascii="Helvetica" w:eastAsia="Times New Roman" w:hAnsi="Helvetica" w:cs="Helvetica"/>
        </w:rPr>
        <w:t xml:space="preserve">rading of a SPAC’s securities will be immediately suspended if: </w:t>
      </w:r>
    </w:p>
    <w:p w14:paraId="2351E5F6" w14:textId="77777777" w:rsidR="00666CB5" w:rsidRDefault="00AE312F" w:rsidP="00666CB5">
      <w:pPr>
        <w:pStyle w:val="a8"/>
        <w:numPr>
          <w:ilvl w:val="0"/>
          <w:numId w:val="7"/>
        </w:numPr>
        <w:shd w:val="clear" w:color="auto" w:fill="FFFFFF"/>
        <w:tabs>
          <w:tab w:val="left" w:pos="851"/>
        </w:tabs>
        <w:spacing w:before="139" w:line="209" w:lineRule="exact"/>
        <w:ind w:left="851" w:hanging="425"/>
        <w:jc w:val="both"/>
        <w:rPr>
          <w:rFonts w:ascii="Helvetica" w:eastAsia="Times New Roman" w:hAnsi="Helvetica" w:cs="Helvetica"/>
        </w:rPr>
      </w:pPr>
      <w:r w:rsidRPr="00666CB5">
        <w:rPr>
          <w:rFonts w:ascii="Helvetica" w:eastAsia="Times New Roman" w:hAnsi="Helvetica" w:cs="Helvetica"/>
        </w:rPr>
        <w:t xml:space="preserve">either the Announcement Deadline or the Transaction Deadline (extended or otherwise) is not met; or </w:t>
      </w:r>
    </w:p>
    <w:p w14:paraId="17EFD960" w14:textId="77777777" w:rsidR="00666CB5" w:rsidRPr="00666CB5" w:rsidRDefault="00666CB5" w:rsidP="00666CB5">
      <w:pPr>
        <w:pStyle w:val="a8"/>
        <w:shd w:val="clear" w:color="auto" w:fill="FFFFFF"/>
        <w:tabs>
          <w:tab w:val="left" w:pos="851"/>
        </w:tabs>
        <w:spacing w:before="139" w:line="209" w:lineRule="exact"/>
        <w:ind w:left="851"/>
        <w:jc w:val="both"/>
        <w:rPr>
          <w:rFonts w:ascii="Helvetica" w:eastAsia="Times New Roman" w:hAnsi="Helvetica" w:cs="Helvetica"/>
        </w:rPr>
      </w:pPr>
    </w:p>
    <w:p w14:paraId="6772F2EB" w14:textId="77777777" w:rsidR="00666CB5" w:rsidRDefault="00AE312F" w:rsidP="00666CB5">
      <w:pPr>
        <w:pStyle w:val="a8"/>
        <w:numPr>
          <w:ilvl w:val="0"/>
          <w:numId w:val="7"/>
        </w:numPr>
        <w:shd w:val="clear" w:color="auto" w:fill="FFFFFF"/>
        <w:tabs>
          <w:tab w:val="left" w:pos="851"/>
        </w:tabs>
        <w:spacing w:before="139" w:line="209" w:lineRule="exact"/>
        <w:ind w:left="851" w:hanging="425"/>
        <w:jc w:val="both"/>
        <w:rPr>
          <w:rFonts w:ascii="Helvetica" w:eastAsia="Times New Roman" w:hAnsi="Helvetica" w:cs="Helvetica"/>
        </w:rPr>
      </w:pPr>
      <w:r w:rsidRPr="00666CB5">
        <w:rPr>
          <w:rFonts w:ascii="Helvetica" w:eastAsia="Times New Roman" w:hAnsi="Helvetica" w:cs="Helvetica"/>
        </w:rPr>
        <w:t>the SPAC fails to obtain approval by a special resolution of its shareholders at a general meeting (</w:t>
      </w:r>
      <w:r w:rsidR="00D310D1">
        <w:rPr>
          <w:rFonts w:ascii="Helvetica" w:eastAsia="Times New Roman" w:hAnsi="Helvetica" w:cs="Helvetica"/>
        </w:rPr>
        <w:t xml:space="preserve">at which </w:t>
      </w:r>
      <w:r w:rsidRPr="00666CB5">
        <w:rPr>
          <w:rFonts w:ascii="Helvetica" w:eastAsia="Times New Roman" w:hAnsi="Helvetica" w:cs="Helvetica"/>
        </w:rPr>
        <w:t xml:space="preserve">SPAC Promoters and their close associates must abstain from voting) for a material change in a SPAC Promoter within one month of the change. </w:t>
      </w:r>
    </w:p>
    <w:p w14:paraId="3FDE004E" w14:textId="1214C9B4" w:rsidR="00AE312F" w:rsidRDefault="00AE312F" w:rsidP="00666CB5">
      <w:pPr>
        <w:shd w:val="clear" w:color="auto" w:fill="FFFFFF"/>
        <w:tabs>
          <w:tab w:val="left" w:pos="851"/>
        </w:tabs>
        <w:spacing w:before="139" w:line="209" w:lineRule="exact"/>
        <w:jc w:val="both"/>
        <w:rPr>
          <w:rFonts w:ascii="Helvetica" w:eastAsia="Times New Roman" w:hAnsi="Helvetica" w:cs="Helvetica"/>
        </w:rPr>
      </w:pPr>
      <w:r w:rsidRPr="00666CB5">
        <w:rPr>
          <w:rFonts w:ascii="Helvetica" w:eastAsia="Times New Roman" w:hAnsi="Helvetica" w:cs="Helvetica"/>
        </w:rPr>
        <w:t>Following suspension, the SPAC will have one month to return the IPO funds raised to holders of the SPAC Shares</w:t>
      </w:r>
      <w:r w:rsidR="00D310D1">
        <w:rPr>
          <w:rFonts w:ascii="Helvetica" w:eastAsia="Times New Roman" w:hAnsi="Helvetica" w:cs="Helvetica"/>
        </w:rPr>
        <w:t xml:space="preserve"> on a pro rata basis</w:t>
      </w:r>
      <w:r w:rsidR="00FE5109">
        <w:rPr>
          <w:rFonts w:ascii="Helvetica" w:eastAsia="Times New Roman" w:hAnsi="Helvetica" w:cs="Helvetica"/>
        </w:rPr>
        <w:t xml:space="preserve"> (</w:t>
      </w:r>
      <w:r w:rsidR="00FE5109">
        <w:t>new Listing Rule 18B.74)</w:t>
      </w:r>
      <w:r w:rsidR="00FE5109">
        <w:rPr>
          <w:rFonts w:ascii="Helvetica" w:eastAsia="Times New Roman" w:hAnsi="Helvetica" w:cs="Helvetica"/>
        </w:rPr>
        <w:t>.</w:t>
      </w:r>
      <w:r w:rsidR="00FE5109" w:rsidRPr="00666CB5">
        <w:rPr>
          <w:rFonts w:ascii="Helvetica" w:eastAsia="Times New Roman" w:hAnsi="Helvetica" w:cs="Helvetica"/>
        </w:rPr>
        <w:t xml:space="preserve"> </w:t>
      </w:r>
      <w:r w:rsidRPr="00666CB5">
        <w:rPr>
          <w:rFonts w:ascii="Helvetica" w:eastAsia="Times New Roman" w:hAnsi="Helvetica" w:cs="Helvetica"/>
        </w:rPr>
        <w:t xml:space="preserve"> </w:t>
      </w:r>
    </w:p>
    <w:p w14:paraId="60C1E8AB" w14:textId="0A07CE2D" w:rsidR="00F05494" w:rsidRDefault="00F05494" w:rsidP="00666CB5">
      <w:pPr>
        <w:shd w:val="clear" w:color="auto" w:fill="FFFFFF"/>
        <w:tabs>
          <w:tab w:val="left" w:pos="851"/>
        </w:tabs>
        <w:spacing w:before="139" w:line="209" w:lineRule="exact"/>
        <w:jc w:val="both"/>
        <w:rPr>
          <w:rFonts w:ascii="Helvetica" w:eastAsia="Times New Roman" w:hAnsi="Helvetica" w:cs="Helvetica"/>
        </w:rPr>
      </w:pPr>
    </w:p>
    <w:p w14:paraId="687D56F5" w14:textId="2B7DE134" w:rsidR="00F05494" w:rsidRDefault="00F05494" w:rsidP="00666CB5">
      <w:pPr>
        <w:shd w:val="clear" w:color="auto" w:fill="FFFFFF"/>
        <w:tabs>
          <w:tab w:val="left" w:pos="851"/>
        </w:tabs>
        <w:spacing w:before="139" w:line="209" w:lineRule="exact"/>
        <w:jc w:val="both"/>
        <w:rPr>
          <w:rFonts w:ascii="Helvetica" w:eastAsia="Times New Roman" w:hAnsi="Helvetica" w:cs="Helvetica"/>
        </w:rPr>
      </w:pPr>
    </w:p>
    <w:p w14:paraId="17354675" w14:textId="71DCC3AD" w:rsidR="00F05494" w:rsidRDefault="00F05494" w:rsidP="00666CB5">
      <w:pPr>
        <w:shd w:val="clear" w:color="auto" w:fill="FFFFFF"/>
        <w:tabs>
          <w:tab w:val="left" w:pos="851"/>
        </w:tabs>
        <w:spacing w:before="139" w:line="209" w:lineRule="exact"/>
        <w:jc w:val="both"/>
        <w:rPr>
          <w:rFonts w:ascii="Helvetica" w:eastAsia="Times New Roman" w:hAnsi="Helvetica" w:cs="Helvetica"/>
        </w:rPr>
      </w:pPr>
    </w:p>
    <w:p w14:paraId="3D4BC77F" w14:textId="1F313286" w:rsidR="00F05494" w:rsidRDefault="00F05494" w:rsidP="00666CB5">
      <w:pPr>
        <w:shd w:val="clear" w:color="auto" w:fill="FFFFFF"/>
        <w:tabs>
          <w:tab w:val="left" w:pos="851"/>
        </w:tabs>
        <w:spacing w:before="139" w:line="209" w:lineRule="exact"/>
        <w:jc w:val="both"/>
        <w:rPr>
          <w:rFonts w:ascii="Helvetica" w:eastAsia="Times New Roman" w:hAnsi="Helvetica" w:cs="Helvetica"/>
        </w:rPr>
      </w:pPr>
    </w:p>
    <w:p w14:paraId="3D6BFAEC" w14:textId="72860B12" w:rsidR="00F05494" w:rsidRDefault="00F05494" w:rsidP="00666CB5">
      <w:pPr>
        <w:shd w:val="clear" w:color="auto" w:fill="FFFFFF"/>
        <w:tabs>
          <w:tab w:val="left" w:pos="851"/>
        </w:tabs>
        <w:spacing w:before="139" w:line="209" w:lineRule="exact"/>
        <w:jc w:val="both"/>
        <w:rPr>
          <w:rFonts w:ascii="Helvetica" w:eastAsia="Times New Roman" w:hAnsi="Helvetica" w:cs="Helvetica"/>
        </w:rPr>
      </w:pPr>
    </w:p>
    <w:p w14:paraId="1B639B7E" w14:textId="5750DE41" w:rsidR="00F05494" w:rsidRDefault="00F05494" w:rsidP="00666CB5">
      <w:pPr>
        <w:shd w:val="clear" w:color="auto" w:fill="FFFFFF"/>
        <w:tabs>
          <w:tab w:val="left" w:pos="851"/>
        </w:tabs>
        <w:spacing w:before="139" w:line="209" w:lineRule="exact"/>
        <w:jc w:val="both"/>
        <w:rPr>
          <w:rFonts w:ascii="Helvetica" w:eastAsia="Times New Roman" w:hAnsi="Helvetica" w:cs="Helvetica"/>
        </w:rPr>
      </w:pPr>
    </w:p>
    <w:p w14:paraId="546B4744" w14:textId="3299EBDF" w:rsidR="00F05494" w:rsidRDefault="00F05494" w:rsidP="00666CB5">
      <w:pPr>
        <w:shd w:val="clear" w:color="auto" w:fill="FFFFFF"/>
        <w:tabs>
          <w:tab w:val="left" w:pos="851"/>
        </w:tabs>
        <w:spacing w:before="139" w:line="209" w:lineRule="exact"/>
        <w:jc w:val="both"/>
        <w:rPr>
          <w:rFonts w:ascii="Helvetica" w:eastAsia="Times New Roman" w:hAnsi="Helvetica" w:cs="Helvetica"/>
        </w:rPr>
      </w:pPr>
    </w:p>
    <w:p w14:paraId="55FAA0A1" w14:textId="0AF1196F" w:rsidR="00F05494" w:rsidRDefault="00F05494" w:rsidP="00666CB5">
      <w:pPr>
        <w:shd w:val="clear" w:color="auto" w:fill="FFFFFF"/>
        <w:tabs>
          <w:tab w:val="left" w:pos="851"/>
        </w:tabs>
        <w:spacing w:before="139" w:line="209" w:lineRule="exact"/>
        <w:jc w:val="both"/>
        <w:rPr>
          <w:rFonts w:ascii="Helvetica" w:eastAsia="Times New Roman" w:hAnsi="Helvetica" w:cs="Helvetica"/>
        </w:rPr>
      </w:pPr>
    </w:p>
    <w:p w14:paraId="5E695BBD" w14:textId="0AF14624" w:rsidR="00F05494" w:rsidRDefault="00F05494" w:rsidP="00666CB5">
      <w:pPr>
        <w:shd w:val="clear" w:color="auto" w:fill="FFFFFF"/>
        <w:tabs>
          <w:tab w:val="left" w:pos="851"/>
        </w:tabs>
        <w:spacing w:before="139" w:line="209" w:lineRule="exact"/>
        <w:jc w:val="both"/>
        <w:rPr>
          <w:rFonts w:ascii="Helvetica" w:eastAsia="Times New Roman" w:hAnsi="Helvetica" w:cs="Helvetica"/>
        </w:rPr>
      </w:pPr>
    </w:p>
    <w:p w14:paraId="6233E1E4" w14:textId="77777777" w:rsidR="00F05494" w:rsidRDefault="00F05494" w:rsidP="00666CB5">
      <w:pPr>
        <w:shd w:val="clear" w:color="auto" w:fill="FFFFFF"/>
        <w:tabs>
          <w:tab w:val="left" w:pos="851"/>
        </w:tabs>
        <w:spacing w:before="139" w:line="209" w:lineRule="exact"/>
        <w:jc w:val="both"/>
        <w:rPr>
          <w:rFonts w:ascii="Helvetica" w:eastAsia="Times New Roman" w:hAnsi="Helvetica" w:cs="Helvetica"/>
        </w:rPr>
      </w:pPr>
    </w:p>
    <w:p w14:paraId="521454AB" w14:textId="77777777" w:rsidR="00F05494" w:rsidRPr="00F05494" w:rsidRDefault="00F05494" w:rsidP="00F05494">
      <w:pPr>
        <w:pStyle w:val="DisclaimerBold"/>
        <w:rPr>
          <w:rFonts w:ascii="Helvetica" w:hAnsi="Helvetica"/>
        </w:rPr>
      </w:pPr>
      <w:r w:rsidRPr="00F05494">
        <w:rPr>
          <w:rFonts w:ascii="Helvetica" w:hAnsi="Helvetica"/>
        </w:rPr>
        <w:lastRenderedPageBreak/>
        <w:t>This newsletter is for information purposes only.</w:t>
      </w:r>
    </w:p>
    <w:p w14:paraId="710101DB" w14:textId="77777777" w:rsidR="00F05494" w:rsidRPr="00F05494" w:rsidRDefault="00F05494" w:rsidP="00F05494">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4EB11150" w14:textId="77777777" w:rsidR="00F05494" w:rsidRPr="00F05494" w:rsidRDefault="00F05494" w:rsidP="00F05494">
      <w:pPr>
        <w:pStyle w:val="Disclaimer"/>
        <w:rPr>
          <w:rFonts w:ascii="Helvetica" w:hAnsi="Helvetica"/>
        </w:rPr>
      </w:pPr>
      <w:r w:rsidRPr="00F05494">
        <w:rPr>
          <w:rFonts w:ascii="Helvetica" w:hAnsi="Helvetica"/>
        </w:rPr>
        <w:t>Transmission of this information is not intended to create and receipt does not constitute a lawyer-client relationship between Charltons and the user or browser.</w:t>
      </w:r>
    </w:p>
    <w:p w14:paraId="79F2137C" w14:textId="77777777" w:rsidR="00F05494" w:rsidRPr="00F05494" w:rsidRDefault="00F05494" w:rsidP="00F05494">
      <w:pPr>
        <w:pStyle w:val="Disclaimer"/>
        <w:rPr>
          <w:rFonts w:ascii="Helvetica" w:hAnsi="Helvetica"/>
        </w:rPr>
      </w:pPr>
      <w:r w:rsidRPr="00F05494">
        <w:rPr>
          <w:rFonts w:ascii="Helvetica" w:hAnsi="Helvetica"/>
        </w:rPr>
        <w:t>Charltons is not responsible for any third party content which can be accessed through the website.</w:t>
      </w:r>
    </w:p>
    <w:p w14:paraId="56E26BB0" w14:textId="77777777" w:rsidR="00F05494" w:rsidRPr="00F05494" w:rsidRDefault="00F05494" w:rsidP="00F05494">
      <w:pPr>
        <w:pStyle w:val="Disclaimer"/>
        <w:rPr>
          <w:rFonts w:ascii="Helvetica" w:hAnsi="Helvetica"/>
        </w:rPr>
      </w:pPr>
      <w:r w:rsidRPr="00F05494">
        <w:rPr>
          <w:rFonts w:ascii="Helvetica" w:hAnsi="Helvetica"/>
        </w:rPr>
        <w:t xml:space="preserve">If you do not wish to receive this newsletter please let us know by emailing us at  </w:t>
      </w:r>
      <w:hyperlink r:id="rId10">
        <w:r w:rsidRPr="00F05494">
          <w:rPr>
            <w:rFonts w:ascii="Helvetica" w:hAnsi="Helvetica"/>
          </w:rPr>
          <w:t>unsubscribe@charltonslaw.com</w:t>
        </w:r>
      </w:hyperlink>
    </w:p>
    <w:p w14:paraId="474A31A7" w14:textId="378EEF2A" w:rsidR="00F05494" w:rsidRPr="00F05494" w:rsidRDefault="00F05494" w:rsidP="00F05494">
      <w:pPr>
        <w:pStyle w:val="BlackStrips"/>
        <w:rPr>
          <w:rFonts w:ascii="Helvetica" w:hAnsi="Helvetica"/>
        </w:rPr>
      </w:pPr>
      <w:r w:rsidRPr="00F05494">
        <w:rPr>
          <w:rFonts w:ascii="Helvetica" w:hAnsi="Helvetica"/>
        </w:rPr>
        <w:t>Charltons - Hong Kong Law - 22 December 2021</w:t>
      </w:r>
    </w:p>
    <w:p w14:paraId="6CE6172F" w14:textId="77777777" w:rsidR="00F05494" w:rsidRPr="00666CB5" w:rsidRDefault="00F05494" w:rsidP="00666CB5">
      <w:pPr>
        <w:shd w:val="clear" w:color="auto" w:fill="FFFFFF"/>
        <w:tabs>
          <w:tab w:val="left" w:pos="851"/>
        </w:tabs>
        <w:spacing w:before="139" w:line="209" w:lineRule="exact"/>
        <w:jc w:val="both"/>
        <w:rPr>
          <w:rFonts w:ascii="Helvetica" w:eastAsia="Times New Roman" w:hAnsi="Helvetica" w:cs="Helvetica"/>
        </w:rPr>
      </w:pPr>
    </w:p>
    <w:p w14:paraId="42BE8F7F" w14:textId="77777777" w:rsidR="00A57542" w:rsidRDefault="00A57542"/>
    <w:p w14:paraId="2393C8D7" w14:textId="77777777" w:rsidR="00F24225" w:rsidRDefault="00F24225"/>
    <w:sectPr w:rsidR="00F242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F788B" w14:textId="77777777" w:rsidR="00785F70" w:rsidRDefault="00785F70" w:rsidP="00AE312F">
      <w:r>
        <w:separator/>
      </w:r>
    </w:p>
  </w:endnote>
  <w:endnote w:type="continuationSeparator" w:id="0">
    <w:p w14:paraId="6C4E1153" w14:textId="77777777" w:rsidR="00785F70" w:rsidRDefault="00785F70" w:rsidP="00AE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AEEC0" w14:textId="77777777" w:rsidR="00785F70" w:rsidRDefault="00785F70" w:rsidP="00AE312F">
      <w:r>
        <w:separator/>
      </w:r>
    </w:p>
  </w:footnote>
  <w:footnote w:type="continuationSeparator" w:id="0">
    <w:p w14:paraId="1B82D53A" w14:textId="77777777" w:rsidR="00785F70" w:rsidRDefault="00785F70" w:rsidP="00AE312F">
      <w:r>
        <w:continuationSeparator/>
      </w:r>
    </w:p>
  </w:footnote>
  <w:footnote w:id="1">
    <w:p w14:paraId="670F1C32" w14:textId="77777777" w:rsidR="00AE312F" w:rsidRPr="000815BE" w:rsidRDefault="00AE312F" w:rsidP="00AE312F">
      <w:pPr>
        <w:pStyle w:val="a3"/>
        <w:tabs>
          <w:tab w:val="left" w:pos="567"/>
        </w:tabs>
        <w:contextualSpacing/>
        <w:rPr>
          <w:rFonts w:ascii="Helvetica" w:hAnsi="Helvetica" w:cs="Helvetica"/>
        </w:rPr>
      </w:pPr>
      <w:r>
        <w:rPr>
          <w:rStyle w:val="a5"/>
        </w:rPr>
        <w:footnoteRef/>
      </w:r>
      <w:r>
        <w:t xml:space="preserve"> </w:t>
      </w:r>
      <w:r>
        <w:tab/>
      </w:r>
      <w:r w:rsidRPr="000815BE">
        <w:rPr>
          <w:rFonts w:ascii="Helvetica" w:eastAsia="Times New Roman" w:hAnsi="Helvetica" w:cs="Helvetica"/>
        </w:rPr>
        <w:t>HKEX “Consultation Conclusions: Special Purpose Acquisition Companies” (December 2021)</w:t>
      </w:r>
      <w:r w:rsidRPr="000815BE">
        <w:rPr>
          <w:rFonts w:ascii="Helvetica" w:eastAsia="Times New Roman" w:hAnsi="Helvetica" w:cs="Helvetica"/>
        </w:rPr>
        <w:br/>
      </w:r>
    </w:p>
  </w:footnote>
  <w:footnote w:id="2">
    <w:p w14:paraId="49B99B3B" w14:textId="77777777" w:rsidR="00AE312F" w:rsidRPr="000815BE" w:rsidRDefault="00AE312F" w:rsidP="00AE312F">
      <w:pPr>
        <w:pStyle w:val="a3"/>
        <w:tabs>
          <w:tab w:val="left" w:pos="567"/>
        </w:tabs>
        <w:contextualSpacing/>
        <w:rPr>
          <w:rFonts w:ascii="Helvetica" w:hAnsi="Helvetica" w:cs="Helvetica"/>
        </w:rPr>
      </w:pPr>
      <w:r w:rsidRPr="000815BE">
        <w:rPr>
          <w:rStyle w:val="a5"/>
          <w:rFonts w:ascii="Helvetica" w:hAnsi="Helvetica" w:cs="Helvetica"/>
        </w:rPr>
        <w:footnoteRef/>
      </w:r>
      <w:r w:rsidRPr="000815BE">
        <w:rPr>
          <w:rFonts w:ascii="Helvetica" w:hAnsi="Helvetica" w:cs="Helvetica"/>
        </w:rPr>
        <w:t xml:space="preserve"> </w:t>
      </w:r>
      <w:r w:rsidRPr="000815BE">
        <w:rPr>
          <w:rFonts w:ascii="Helvetica" w:hAnsi="Helvetica" w:cs="Helvetica"/>
        </w:rPr>
        <w:tab/>
      </w:r>
      <w:r w:rsidR="008F1BFF" w:rsidRPr="000815BE">
        <w:rPr>
          <w:rFonts w:ascii="Helvetica" w:eastAsia="Times New Roman" w:hAnsi="Helvetica" w:cs="Helvetica"/>
        </w:rPr>
        <w:t>HKEX</w:t>
      </w:r>
      <w:r w:rsidRPr="000815BE">
        <w:rPr>
          <w:rFonts w:ascii="Helvetica" w:hAnsi="Helvetica" w:cs="Helvetica"/>
          <w:sz w:val="16"/>
          <w:szCs w:val="16"/>
        </w:rPr>
        <w:t xml:space="preserve"> </w:t>
      </w:r>
      <w:r w:rsidRPr="000815BE">
        <w:rPr>
          <w:rFonts w:ascii="Helvetica" w:eastAsia="Times New Roman" w:hAnsi="Helvetica" w:cs="Helvetica"/>
        </w:rPr>
        <w:t>“Consultation Paper: Special Purpose Acquisition Companies” (September 2021)</w:t>
      </w:r>
      <w:r w:rsidRPr="000815BE">
        <w:rPr>
          <w:rFonts w:ascii="Helvetica" w:hAnsi="Helvetica" w:cs="Helvetica"/>
          <w:sz w:val="16"/>
          <w:szCs w:val="16"/>
        </w:rPr>
        <w:br/>
      </w:r>
    </w:p>
  </w:footnote>
  <w:footnote w:id="3">
    <w:p w14:paraId="708503F1" w14:textId="2110EE98" w:rsidR="000815BE" w:rsidRDefault="000815BE" w:rsidP="000815BE">
      <w:pPr>
        <w:pStyle w:val="a3"/>
        <w:tabs>
          <w:tab w:val="left" w:pos="567"/>
        </w:tabs>
        <w:rPr>
          <w:rFonts w:ascii="Helvetica" w:hAnsi="Helvetica" w:cs="Helvetica"/>
        </w:rPr>
      </w:pPr>
      <w:r w:rsidRPr="000815BE">
        <w:rPr>
          <w:rStyle w:val="a5"/>
          <w:rFonts w:ascii="Helvetica" w:hAnsi="Helvetica" w:cs="Helvetica"/>
        </w:rPr>
        <w:footnoteRef/>
      </w:r>
      <w:r w:rsidRPr="000815BE">
        <w:rPr>
          <w:rFonts w:ascii="Helvetica" w:hAnsi="Helvetica" w:cs="Helvetica"/>
        </w:rPr>
        <w:t xml:space="preserve"> </w:t>
      </w:r>
      <w:r w:rsidRPr="000815BE">
        <w:rPr>
          <w:rFonts w:ascii="Helvetica" w:hAnsi="Helvetica" w:cs="Helvetica"/>
        </w:rPr>
        <w:tab/>
        <w:t xml:space="preserve">A business combination can be a merger, share exchange, asset acquisition, share purchase, reorganisation or other type of transaction </w:t>
      </w:r>
    </w:p>
    <w:p w14:paraId="219E0EAB" w14:textId="77777777" w:rsidR="00056A8F" w:rsidRPr="000815BE" w:rsidRDefault="00056A8F" w:rsidP="000815BE">
      <w:pPr>
        <w:pStyle w:val="a3"/>
        <w:tabs>
          <w:tab w:val="left" w:pos="567"/>
        </w:tabs>
        <w:rPr>
          <w:rFonts w:ascii="Helvetica" w:hAnsi="Helvetica" w:cs="Helvetica"/>
        </w:rPr>
      </w:pPr>
    </w:p>
  </w:footnote>
  <w:footnote w:id="4">
    <w:p w14:paraId="39F528C4" w14:textId="77777777" w:rsidR="00AE312F" w:rsidRPr="000815BE" w:rsidRDefault="00AE312F" w:rsidP="00AE312F">
      <w:pPr>
        <w:pStyle w:val="a3"/>
        <w:tabs>
          <w:tab w:val="left" w:pos="567"/>
        </w:tabs>
        <w:contextualSpacing/>
        <w:rPr>
          <w:rFonts w:ascii="Helvetica" w:hAnsi="Helvetica" w:cs="Helvetica"/>
        </w:rPr>
      </w:pPr>
      <w:r w:rsidRPr="000815BE">
        <w:rPr>
          <w:rFonts w:ascii="Helvetica" w:hAnsi="Helvetica" w:cs="Helvetica"/>
          <w:sz w:val="16"/>
          <w:szCs w:val="16"/>
        </w:rPr>
        <w:footnoteRef/>
      </w:r>
      <w:r w:rsidRPr="000815BE">
        <w:rPr>
          <w:rFonts w:ascii="Helvetica" w:hAnsi="Helvetica" w:cs="Helvetica"/>
          <w:sz w:val="16"/>
          <w:szCs w:val="16"/>
        </w:rPr>
        <w:t xml:space="preserve"> </w:t>
      </w:r>
      <w:r w:rsidRPr="000815BE">
        <w:rPr>
          <w:rFonts w:ascii="Helvetica" w:hAnsi="Helvetica" w:cs="Helvetica"/>
          <w:sz w:val="16"/>
          <w:szCs w:val="16"/>
        </w:rPr>
        <w:tab/>
      </w:r>
      <w:r w:rsidR="000815BE" w:rsidRPr="000815BE">
        <w:rPr>
          <w:rFonts w:ascii="Helvetica" w:eastAsia="Times New Roman" w:hAnsi="Helvetica" w:cs="Helvetica"/>
        </w:rPr>
        <w:t>HKEX</w:t>
      </w:r>
      <w:r w:rsidR="000815BE" w:rsidRPr="000815BE">
        <w:rPr>
          <w:rFonts w:ascii="Helvetica" w:hAnsi="Helvetica" w:cs="Helvetica"/>
          <w:sz w:val="16"/>
          <w:szCs w:val="16"/>
        </w:rPr>
        <w:t xml:space="preserve"> </w:t>
      </w:r>
      <w:r w:rsidR="000815BE" w:rsidRPr="000815BE">
        <w:rPr>
          <w:rFonts w:ascii="Helvetica" w:eastAsia="Times New Roman" w:hAnsi="Helvetica" w:cs="Helvetica"/>
        </w:rPr>
        <w:t xml:space="preserve">“Consultation Paper: Special Purpose Acquisition Companies” </w:t>
      </w:r>
      <w:r w:rsidRPr="000815BE">
        <w:rPr>
          <w:rFonts w:ascii="Helvetica" w:eastAsia="Times New Roman" w:hAnsi="Helvetica" w:cs="Helvetica"/>
        </w:rPr>
        <w:t>at paragraph 6</w:t>
      </w:r>
    </w:p>
  </w:footnote>
  <w:footnote w:id="5">
    <w:p w14:paraId="0D29B68E" w14:textId="77777777" w:rsidR="00666CB5" w:rsidRDefault="00666CB5" w:rsidP="00666CB5">
      <w:pPr>
        <w:pStyle w:val="a3"/>
        <w:tabs>
          <w:tab w:val="left" w:pos="567"/>
        </w:tabs>
      </w:pPr>
      <w:r>
        <w:rPr>
          <w:rStyle w:val="a5"/>
        </w:rPr>
        <w:footnoteRef/>
      </w:r>
      <w:r>
        <w:t xml:space="preserve"> </w:t>
      </w:r>
      <w:r>
        <w:tab/>
        <w:t>Under Listing Rule 13.39(5)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0BF1"/>
    <w:multiLevelType w:val="hybridMultilevel"/>
    <w:tmpl w:val="982658D6"/>
    <w:lvl w:ilvl="0" w:tplc="707823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548F5"/>
    <w:multiLevelType w:val="hybridMultilevel"/>
    <w:tmpl w:val="11E867DE"/>
    <w:lvl w:ilvl="0" w:tplc="449A45A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C0A153E"/>
    <w:multiLevelType w:val="hybridMultilevel"/>
    <w:tmpl w:val="6394BD16"/>
    <w:lvl w:ilvl="0" w:tplc="707823F6">
      <w:start w:val="1"/>
      <w:numFmt w:val="lowerRoman"/>
      <w:lvlText w:val="(%1)"/>
      <w:lvlJc w:val="left"/>
      <w:pPr>
        <w:ind w:left="157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3" w15:restartNumberingAfterBreak="0">
    <w:nsid w:val="5652584E"/>
    <w:multiLevelType w:val="hybridMultilevel"/>
    <w:tmpl w:val="8E5625A8"/>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 w15:restartNumberingAfterBreak="0">
    <w:nsid w:val="6845729C"/>
    <w:multiLevelType w:val="hybridMultilevel"/>
    <w:tmpl w:val="D6400E0E"/>
    <w:lvl w:ilvl="0" w:tplc="622E1DC8">
      <w:start w:val="1"/>
      <w:numFmt w:val="lowerRoman"/>
      <w:lvlText w:val="(%1)"/>
      <w:lvlJc w:val="left"/>
      <w:pPr>
        <w:ind w:left="1571" w:hanging="72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5" w15:restartNumberingAfterBreak="0">
    <w:nsid w:val="68D2033B"/>
    <w:multiLevelType w:val="hybridMultilevel"/>
    <w:tmpl w:val="2C3A0DC8"/>
    <w:lvl w:ilvl="0" w:tplc="707823F6">
      <w:start w:val="1"/>
      <w:numFmt w:val="lowerRoman"/>
      <w:lvlText w:val="(%1)"/>
      <w:lvlJc w:val="left"/>
      <w:pPr>
        <w:ind w:left="157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6" w15:restartNumberingAfterBreak="0">
    <w:nsid w:val="79395138"/>
    <w:multiLevelType w:val="hybridMultilevel"/>
    <w:tmpl w:val="F6387100"/>
    <w:lvl w:ilvl="0" w:tplc="3A60EA1C">
      <w:start w:val="1"/>
      <w:numFmt w:val="lowerRoman"/>
      <w:lvlText w:val="(%1)"/>
      <w:lvlJc w:val="left"/>
      <w:pPr>
        <w:ind w:left="1571" w:hanging="72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2F"/>
    <w:rsid w:val="00007B45"/>
    <w:rsid w:val="00056A8F"/>
    <w:rsid w:val="000815BE"/>
    <w:rsid w:val="00101483"/>
    <w:rsid w:val="001123EB"/>
    <w:rsid w:val="001A6747"/>
    <w:rsid w:val="002D6DAE"/>
    <w:rsid w:val="002E6056"/>
    <w:rsid w:val="0031755D"/>
    <w:rsid w:val="00385904"/>
    <w:rsid w:val="0046632F"/>
    <w:rsid w:val="00473D9C"/>
    <w:rsid w:val="004C0492"/>
    <w:rsid w:val="004D3E12"/>
    <w:rsid w:val="00506AC0"/>
    <w:rsid w:val="00510346"/>
    <w:rsid w:val="00527DD9"/>
    <w:rsid w:val="00663CAE"/>
    <w:rsid w:val="00666CB5"/>
    <w:rsid w:val="006C33B1"/>
    <w:rsid w:val="006D4C8B"/>
    <w:rsid w:val="00785F70"/>
    <w:rsid w:val="007E3829"/>
    <w:rsid w:val="008030F6"/>
    <w:rsid w:val="0080529E"/>
    <w:rsid w:val="008C59DE"/>
    <w:rsid w:val="008F1BFF"/>
    <w:rsid w:val="00907827"/>
    <w:rsid w:val="009771B9"/>
    <w:rsid w:val="009A3EB9"/>
    <w:rsid w:val="009A4D4F"/>
    <w:rsid w:val="009C3390"/>
    <w:rsid w:val="00A57542"/>
    <w:rsid w:val="00AE312F"/>
    <w:rsid w:val="00AE44DC"/>
    <w:rsid w:val="00BB3C1D"/>
    <w:rsid w:val="00BF0C8F"/>
    <w:rsid w:val="00C705B5"/>
    <w:rsid w:val="00C7737D"/>
    <w:rsid w:val="00CE7252"/>
    <w:rsid w:val="00D310D1"/>
    <w:rsid w:val="00E74E25"/>
    <w:rsid w:val="00EE59CD"/>
    <w:rsid w:val="00F05494"/>
    <w:rsid w:val="00F24225"/>
    <w:rsid w:val="00F27767"/>
    <w:rsid w:val="00F636A3"/>
    <w:rsid w:val="00FE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BC6E"/>
  <w15:chartTrackingRefBased/>
  <w15:docId w15:val="{B24BF5D7-7094-4B2D-905D-AF115C96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12F"/>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E312F"/>
  </w:style>
  <w:style w:type="character" w:customStyle="1" w:styleId="a4">
    <w:name w:val="Текст сноски Знак"/>
    <w:basedOn w:val="a0"/>
    <w:link w:val="a3"/>
    <w:uiPriority w:val="99"/>
    <w:rsid w:val="00AE312F"/>
    <w:rPr>
      <w:rFonts w:ascii="Arial" w:eastAsiaTheme="minorEastAsia" w:hAnsi="Arial" w:cs="Arial"/>
      <w:sz w:val="20"/>
      <w:szCs w:val="20"/>
    </w:rPr>
  </w:style>
  <w:style w:type="character" w:styleId="a5">
    <w:name w:val="footnote reference"/>
    <w:basedOn w:val="a0"/>
    <w:uiPriority w:val="99"/>
    <w:semiHidden/>
    <w:unhideWhenUsed/>
    <w:rsid w:val="00AE312F"/>
    <w:rPr>
      <w:rFonts w:cs="Times New Roman"/>
      <w:vertAlign w:val="superscript"/>
    </w:rPr>
  </w:style>
  <w:style w:type="table" w:styleId="a6">
    <w:name w:val="Table Grid"/>
    <w:basedOn w:val="a1"/>
    <w:uiPriority w:val="59"/>
    <w:rsid w:val="00AE31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E312F"/>
    <w:rPr>
      <w:color w:val="0563C1" w:themeColor="hyperlink"/>
      <w:u w:val="single"/>
    </w:rPr>
  </w:style>
  <w:style w:type="paragraph" w:styleId="a8">
    <w:name w:val="List Paragraph"/>
    <w:basedOn w:val="a"/>
    <w:uiPriority w:val="34"/>
    <w:qFormat/>
    <w:rsid w:val="00527DD9"/>
    <w:pPr>
      <w:ind w:left="720"/>
      <w:contextualSpacing/>
    </w:pPr>
  </w:style>
  <w:style w:type="paragraph" w:customStyle="1" w:styleId="BlackStrips">
    <w:name w:val="Black Strips"/>
    <w:basedOn w:val="a"/>
    <w:qFormat/>
    <w:rsid w:val="00F05494"/>
    <w:pPr>
      <w:widowControl/>
      <w:shd w:val="clear" w:color="auto" w:fill="000000"/>
      <w:autoSpaceDE/>
      <w:autoSpaceDN/>
      <w:adjustRightInd/>
      <w:spacing w:after="200"/>
      <w:jc w:val="center"/>
    </w:pPr>
    <w:rPr>
      <w:rFonts w:asciiTheme="minorHAnsi" w:eastAsiaTheme="minorHAnsi" w:hAnsiTheme="minorHAnsi" w:cstheme="minorBidi"/>
      <w:color w:val="FFFFFF"/>
      <w:sz w:val="24"/>
      <w:szCs w:val="24"/>
    </w:rPr>
  </w:style>
  <w:style w:type="paragraph" w:customStyle="1" w:styleId="ReadOnline">
    <w:name w:val="Read Online"/>
    <w:basedOn w:val="a"/>
    <w:qFormat/>
    <w:rsid w:val="00F05494"/>
    <w:pPr>
      <w:widowControl/>
      <w:autoSpaceDE/>
      <w:autoSpaceDN/>
      <w:adjustRightInd/>
      <w:spacing w:after="200"/>
      <w:jc w:val="center"/>
    </w:pPr>
    <w:rPr>
      <w:rFonts w:asciiTheme="minorHAnsi" w:eastAsiaTheme="minorHAnsi" w:hAnsiTheme="minorHAnsi" w:cstheme="minorBidi"/>
      <w:color w:val="00000A"/>
      <w:sz w:val="28"/>
      <w:szCs w:val="24"/>
      <w:u w:val="single"/>
    </w:rPr>
  </w:style>
  <w:style w:type="paragraph" w:styleId="a9">
    <w:name w:val="header"/>
    <w:basedOn w:val="a"/>
    <w:link w:val="aa"/>
    <w:uiPriority w:val="99"/>
    <w:unhideWhenUsed/>
    <w:rsid w:val="00F05494"/>
    <w:pPr>
      <w:tabs>
        <w:tab w:val="center" w:pos="4677"/>
        <w:tab w:val="right" w:pos="9355"/>
      </w:tabs>
    </w:pPr>
  </w:style>
  <w:style w:type="character" w:customStyle="1" w:styleId="aa">
    <w:name w:val="Верхний колонтитул Знак"/>
    <w:basedOn w:val="a0"/>
    <w:link w:val="a9"/>
    <w:uiPriority w:val="99"/>
    <w:rsid w:val="00F05494"/>
    <w:rPr>
      <w:rFonts w:ascii="Arial" w:eastAsiaTheme="minorEastAsia" w:hAnsi="Arial" w:cs="Arial"/>
      <w:sz w:val="20"/>
      <w:szCs w:val="20"/>
    </w:rPr>
  </w:style>
  <w:style w:type="paragraph" w:styleId="ab">
    <w:name w:val="footer"/>
    <w:basedOn w:val="a"/>
    <w:link w:val="ac"/>
    <w:uiPriority w:val="99"/>
    <w:unhideWhenUsed/>
    <w:rsid w:val="00F05494"/>
    <w:pPr>
      <w:tabs>
        <w:tab w:val="center" w:pos="4677"/>
        <w:tab w:val="right" w:pos="9355"/>
      </w:tabs>
    </w:pPr>
  </w:style>
  <w:style w:type="character" w:customStyle="1" w:styleId="ac">
    <w:name w:val="Нижний колонтитул Знак"/>
    <w:basedOn w:val="a0"/>
    <w:link w:val="ab"/>
    <w:uiPriority w:val="99"/>
    <w:rsid w:val="00F05494"/>
    <w:rPr>
      <w:rFonts w:ascii="Arial" w:eastAsiaTheme="minorEastAsia" w:hAnsi="Arial" w:cs="Arial"/>
      <w:sz w:val="20"/>
      <w:szCs w:val="20"/>
    </w:rPr>
  </w:style>
  <w:style w:type="paragraph" w:customStyle="1" w:styleId="Disclaimer">
    <w:name w:val="Disclaimer"/>
    <w:basedOn w:val="a"/>
    <w:qFormat/>
    <w:rsid w:val="00F05494"/>
    <w:pPr>
      <w:widowControl/>
      <w:pBdr>
        <w:top w:val="single" w:sz="2" w:space="1" w:color="000001"/>
        <w:left w:val="single" w:sz="2" w:space="1" w:color="000001"/>
        <w:bottom w:val="single" w:sz="2" w:space="1" w:color="000001"/>
        <w:right w:val="single" w:sz="2" w:space="1" w:color="000001"/>
      </w:pBdr>
      <w:shd w:val="clear" w:color="auto" w:fill="DDDDDD"/>
      <w:autoSpaceDE/>
      <w:autoSpaceDN/>
      <w:adjustRightInd/>
      <w:spacing w:before="101" w:after="101"/>
      <w:jc w:val="both"/>
    </w:pPr>
    <w:rPr>
      <w:rFonts w:asciiTheme="minorHAnsi" w:eastAsiaTheme="minorHAnsi" w:hAnsiTheme="minorHAnsi" w:cstheme="minorBidi"/>
      <w:color w:val="00000A"/>
      <w:sz w:val="24"/>
      <w:szCs w:val="24"/>
    </w:rPr>
  </w:style>
  <w:style w:type="paragraph" w:customStyle="1" w:styleId="DisclaimerBold">
    <w:name w:val="Disclaimer Bold"/>
    <w:basedOn w:val="Disclaimer"/>
    <w:qFormat/>
    <w:rsid w:val="00F05494"/>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overview-of-hkex-new-spac-listing-regi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subscribe@charltonslaw.com?subject=unsubscribe%20-Hong%20Kong%20Law-" TargetMode="External"/><Relationship Id="rId4" Type="http://schemas.openxmlformats.org/officeDocument/2006/relationships/settings" Target="settings.xml"/><Relationship Id="rId9" Type="http://schemas.openxmlformats.org/officeDocument/2006/relationships/hyperlink" Target="https://www.hkex.com.hk/-/media/HKEX-Market/News/Market-Consultations/2016-Present/September-2021-Special-Purpose-Acquisition-Co/Conclusions-(Dec-2021)/cp202109cc.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69687-36EE-41F7-9585-27441824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dc:creator>
  <cp:keywords/>
  <dc:description/>
  <cp:lastModifiedBy>Microsoft Office User</cp:lastModifiedBy>
  <cp:revision>13</cp:revision>
  <dcterms:created xsi:type="dcterms:W3CDTF">2021-12-22T04:46:00Z</dcterms:created>
  <dcterms:modified xsi:type="dcterms:W3CDTF">2021-12-24T09:49:00Z</dcterms:modified>
</cp:coreProperties>
</file>