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B1" w:rsidRDefault="002E579A">
      <w:pPr>
        <w:pStyle w:val="BlackStrips"/>
      </w:pPr>
      <w:r>
        <w:t>Charltons - Hong Kong Law - 17 April 2020</w:t>
      </w:r>
    </w:p>
    <w:p w:rsidR="00E002B1" w:rsidRDefault="002E579A">
      <w:pPr>
        <w:pStyle w:val="ReadOnline"/>
      </w:pPr>
      <w:hyperlink r:id="rId7">
        <w:r>
          <w:t>online version</w:t>
        </w:r>
      </w:hyperlink>
    </w:p>
    <w:p w:rsidR="00E002B1" w:rsidRDefault="002E579A">
      <w:pPr>
        <w:pStyle w:val="Title"/>
      </w:pPr>
      <w:r>
        <w:t>Hong Kong Government Support for Local Enterprises &amp; SMEs</w:t>
      </w:r>
    </w:p>
    <w:p w:rsidR="00E002B1" w:rsidRDefault="002E579A" w:rsidP="002E579A">
      <w:pPr>
        <w:pStyle w:val="FirstParagraph"/>
      </w:pPr>
      <w:r>
        <w:t>Local enterprises and small and medium enterprises (</w:t>
      </w:r>
      <w:r>
        <w:rPr>
          <w:b/>
        </w:rPr>
        <w:t>SMEs</w:t>
      </w:r>
      <w:r>
        <w:t>) have been severely affected by the COVID-19 outbreak. The Government of Hong Kong has put in place a series of supporting policies to assist those local businesses and SMEs which meet the qualifying</w:t>
      </w:r>
      <w:r>
        <w:t xml:space="preserve"> criteria and are successful with their application. We have compiled a list of these Government initiatives, setting out the key details with respect to each of the funding initiatives.</w:t>
      </w:r>
    </w:p>
    <w:p w:rsidR="00E002B1" w:rsidRDefault="002E579A" w:rsidP="002E579A">
      <w:pPr>
        <w:numPr>
          <w:ilvl w:val="0"/>
          <w:numId w:val="2"/>
        </w:numPr>
        <w:jc w:val="both"/>
      </w:pPr>
      <w:r>
        <w:rPr>
          <w:b/>
        </w:rPr>
        <w:t>Funding Schemes available for SMEs in Hong Kong</w:t>
      </w:r>
    </w:p>
    <w:p w:rsidR="00E002B1" w:rsidRDefault="002E579A" w:rsidP="002E579A">
      <w:pPr>
        <w:numPr>
          <w:ilvl w:val="0"/>
          <w:numId w:val="1"/>
        </w:numPr>
        <w:jc w:val="both"/>
      </w:pPr>
      <w:r>
        <w:t>The Hong Kong Governm</w:t>
      </w:r>
      <w:r>
        <w:t>ent offers various funding schemes to SMEs, such as guarantees for bank loans, sponsorship for exporting marketing activities and funding for SME development projects. Each of the schemes is designated to meet different business needs across different sect</w:t>
      </w:r>
      <w:r>
        <w:t>ors. Businesses can choose the scheme that best suits their needs.</w:t>
      </w:r>
    </w:p>
    <w:p w:rsidR="00E002B1" w:rsidRDefault="002E579A" w:rsidP="002E579A">
      <w:pPr>
        <w:numPr>
          <w:ilvl w:val="1"/>
          <w:numId w:val="3"/>
        </w:numPr>
        <w:jc w:val="both"/>
      </w:pPr>
      <w:r>
        <w:t>SME Exporting Marketing Fund (</w:t>
      </w:r>
      <w:r>
        <w:rPr>
          <w:b/>
        </w:rPr>
        <w:t>EMF</w:t>
      </w:r>
      <w:r>
        <w:t>)</w:t>
      </w:r>
    </w:p>
    <w:p w:rsidR="00E002B1" w:rsidRDefault="002E579A" w:rsidP="002E579A">
      <w:pPr>
        <w:numPr>
          <w:ilvl w:val="1"/>
          <w:numId w:val="1"/>
        </w:numPr>
        <w:jc w:val="both"/>
      </w:pPr>
      <w:r>
        <w:t>The EMF aims to encourage SMEs to expand their markets outside Hong Kong by providing financial assistance to SMEs for participation in export promotion a</w:t>
      </w:r>
      <w:r>
        <w:t>ctivities. The cumulative funding ceiling per enterprise is HK$800,000 (increased from HK$400,000 in January 2020). Applications may be submitted online via the Government’s e-Form portal, by post, via drop-in box or in person to the Trade and Industry Dep</w:t>
      </w:r>
      <w:r>
        <w:t>artment’s (</w:t>
      </w:r>
      <w:r>
        <w:rPr>
          <w:b/>
        </w:rPr>
        <w:t>TID</w:t>
      </w:r>
      <w:r>
        <w:t>) “SME Export Marketing Fund Branch.”</w:t>
      </w:r>
    </w:p>
    <w:tbl>
      <w:tblPr>
        <w:tblW w:w="4342"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999"/>
        <w:gridCol w:w="3211"/>
        <w:gridCol w:w="2816"/>
      </w:tblGrid>
      <w:tr w:rsidR="00E002B1" w:rsidTr="00547592">
        <w:tc>
          <w:tcPr>
            <w:tcW w:w="1661" w:type="pct"/>
            <w:vAlign w:val="center"/>
          </w:tcPr>
          <w:p w:rsidR="00E002B1" w:rsidRDefault="002E579A" w:rsidP="00547592">
            <w:pPr>
              <w:pStyle w:val="Compact"/>
              <w:numPr>
                <w:ilvl w:val="1"/>
                <w:numId w:val="1"/>
              </w:numPr>
              <w:ind w:left="345" w:hanging="345"/>
              <w:jc w:val="left"/>
            </w:pPr>
            <w:r>
              <w:t>Eligibility</w:t>
            </w:r>
          </w:p>
        </w:tc>
        <w:tc>
          <w:tcPr>
            <w:tcW w:w="1779" w:type="pct"/>
            <w:vAlign w:val="center"/>
          </w:tcPr>
          <w:p w:rsidR="00E002B1" w:rsidRDefault="002E579A" w:rsidP="00547592">
            <w:pPr>
              <w:pStyle w:val="Compact"/>
              <w:numPr>
                <w:ilvl w:val="1"/>
                <w:numId w:val="1"/>
              </w:numPr>
              <w:ind w:left="316" w:hanging="90"/>
              <w:jc w:val="left"/>
            </w:pPr>
            <w:r>
              <w:t>Funding Scope</w:t>
            </w:r>
          </w:p>
        </w:tc>
        <w:tc>
          <w:tcPr>
            <w:tcW w:w="1560" w:type="pct"/>
            <w:vAlign w:val="center"/>
          </w:tcPr>
          <w:p w:rsidR="00E002B1" w:rsidRDefault="002E579A" w:rsidP="00547592">
            <w:pPr>
              <w:pStyle w:val="Compact"/>
              <w:numPr>
                <w:ilvl w:val="1"/>
                <w:numId w:val="1"/>
              </w:numPr>
              <w:ind w:left="331" w:hanging="255"/>
              <w:jc w:val="left"/>
            </w:pPr>
            <w:r>
              <w:t>Restrictions on Funding Expenditures</w:t>
            </w:r>
          </w:p>
        </w:tc>
      </w:tr>
      <w:tr w:rsidR="00E002B1" w:rsidTr="00547592">
        <w:tc>
          <w:tcPr>
            <w:tcW w:w="1661" w:type="pct"/>
          </w:tcPr>
          <w:p w:rsidR="00E002B1" w:rsidRDefault="002E579A" w:rsidP="00547592">
            <w:pPr>
              <w:numPr>
                <w:ilvl w:val="2"/>
                <w:numId w:val="4"/>
              </w:numPr>
              <w:ind w:left="345" w:hanging="270"/>
            </w:pPr>
            <w:r>
              <w:t xml:space="preserve">An enterprise must be registered in Hong Kong under the </w:t>
            </w:r>
            <w:hyperlink r:id="rId8">
              <w:r>
                <w:t>Business Registration O</w:t>
              </w:r>
              <w:r>
                <w:t>rdinance (Cap. 310)</w:t>
              </w:r>
            </w:hyperlink>
            <w:r>
              <w:t>.</w:t>
            </w:r>
          </w:p>
          <w:p w:rsidR="00E002B1" w:rsidRDefault="002E579A" w:rsidP="00547592">
            <w:pPr>
              <w:numPr>
                <w:ilvl w:val="2"/>
                <w:numId w:val="4"/>
              </w:numPr>
              <w:ind w:left="345" w:hanging="270"/>
            </w:pPr>
            <w:r>
              <w:t>An enterprise must meet the definition of an SME (i.e. manufacturing business – less than 100 employees; non-manufacturing business – less than 50 employees).</w:t>
            </w:r>
          </w:p>
          <w:p w:rsidR="00E002B1" w:rsidRDefault="002E579A" w:rsidP="00547592">
            <w:pPr>
              <w:numPr>
                <w:ilvl w:val="2"/>
                <w:numId w:val="4"/>
              </w:numPr>
              <w:ind w:left="345" w:hanging="270"/>
            </w:pPr>
            <w:r>
              <w:t xml:space="preserve">An enterprise must have substantive business operations in Hong Kong at the </w:t>
            </w:r>
            <w:r>
              <w:t>time of the application. (For further details please refer to the "</w:t>
            </w:r>
            <w:hyperlink r:id="rId9" w:anchor="dtl0101">
              <w:r>
                <w:t xml:space="preserve">Guidelines </w:t>
              </w:r>
              <w:r>
                <w:lastRenderedPageBreak/>
                <w:t>on the requirement of "substantive business operation</w:t>
              </w:r>
            </w:hyperlink>
            <w:r>
              <w:t>" issued by the TID).</w:t>
            </w:r>
          </w:p>
          <w:p w:rsidR="00E002B1" w:rsidRDefault="002E579A" w:rsidP="00547592">
            <w:pPr>
              <w:numPr>
                <w:ilvl w:val="2"/>
                <w:numId w:val="4"/>
              </w:numPr>
              <w:ind w:left="345" w:hanging="270"/>
            </w:pPr>
            <w:r>
              <w:t>If an enterpri</w:t>
            </w:r>
            <w:r>
              <w:t>se has previously received EMF funding, the cumulative amount of funding received must not exceed HK$800,000. Connected enterprises (enterprises with similar business registration details) will be treated as one enterprise for determining cumulative fundin</w:t>
            </w:r>
            <w:r>
              <w:t>g ceiling.</w:t>
            </w:r>
          </w:p>
          <w:p w:rsidR="00E002B1" w:rsidRDefault="002E579A" w:rsidP="00547592">
            <w:pPr>
              <w:numPr>
                <w:ilvl w:val="2"/>
                <w:numId w:val="4"/>
              </w:numPr>
              <w:ind w:left="345" w:hanging="270"/>
            </w:pPr>
            <w:r>
              <w:t>An applicant enterprise must not be the organiser/co-organiser/service provider or a related company of the organiser/co-organiser/service provider of the export promotion activity.</w:t>
            </w:r>
          </w:p>
        </w:tc>
        <w:tc>
          <w:tcPr>
            <w:tcW w:w="1779" w:type="pct"/>
          </w:tcPr>
          <w:p w:rsidR="00E002B1" w:rsidRDefault="002E579A" w:rsidP="00547592">
            <w:pPr>
              <w:numPr>
                <w:ilvl w:val="2"/>
                <w:numId w:val="5"/>
              </w:numPr>
              <w:ind w:left="345" w:hanging="270"/>
            </w:pPr>
            <w:r>
              <w:lastRenderedPageBreak/>
              <w:t>Trade fairs/exhibitions outside Hong Kong.</w:t>
            </w:r>
          </w:p>
          <w:p w:rsidR="00E002B1" w:rsidRDefault="002E579A" w:rsidP="00547592">
            <w:pPr>
              <w:numPr>
                <w:ilvl w:val="2"/>
                <w:numId w:val="5"/>
              </w:numPr>
              <w:ind w:left="345" w:hanging="270"/>
            </w:pPr>
            <w:r>
              <w:t>Business missions outside of Hong Kong.</w:t>
            </w:r>
          </w:p>
          <w:p w:rsidR="00E002B1" w:rsidRDefault="002E579A" w:rsidP="00547592">
            <w:pPr>
              <w:numPr>
                <w:ilvl w:val="2"/>
                <w:numId w:val="5"/>
              </w:numPr>
              <w:ind w:left="345" w:hanging="270"/>
            </w:pPr>
            <w:r>
              <w:t xml:space="preserve">Local trade fairs/exhibitions which mainly target markets outside Hong Kong (Please click </w:t>
            </w:r>
            <w:hyperlink r:id="rId10">
              <w:r>
                <w:t>here</w:t>
              </w:r>
            </w:hyperlink>
            <w:r>
              <w:t xml:space="preserve"> for more detailed requirements).</w:t>
            </w:r>
          </w:p>
          <w:p w:rsidR="00E002B1" w:rsidRDefault="002E579A" w:rsidP="00547592">
            <w:pPr>
              <w:numPr>
                <w:ilvl w:val="2"/>
                <w:numId w:val="5"/>
              </w:numPr>
              <w:ind w:left="345" w:hanging="270"/>
            </w:pPr>
            <w:r>
              <w:t>Placing advertisements on trade publications which mainly target markets outside Hong Kong.</w:t>
            </w:r>
          </w:p>
          <w:p w:rsidR="00E002B1" w:rsidRDefault="002E579A" w:rsidP="00547592">
            <w:pPr>
              <w:numPr>
                <w:ilvl w:val="2"/>
                <w:numId w:val="5"/>
              </w:numPr>
              <w:ind w:left="345" w:hanging="270"/>
            </w:pPr>
            <w:r>
              <w:t xml:space="preserve">Export promotion activities which are conducted through electronic </w:t>
            </w:r>
            <w:r>
              <w:lastRenderedPageBreak/>
              <w:t>platforms/media and which mainly target markets outside Hong Kong.</w:t>
            </w:r>
          </w:p>
          <w:p w:rsidR="00E002B1" w:rsidRDefault="002E579A" w:rsidP="00547592">
            <w:pPr>
              <w:numPr>
                <w:ilvl w:val="2"/>
                <w:numId w:val="5"/>
              </w:numPr>
              <w:ind w:left="345" w:hanging="270"/>
            </w:pPr>
            <w:r>
              <w:t>Setting up or enhancement of a</w:t>
            </w:r>
            <w:r>
              <w:t xml:space="preserve"> corporate website/mobile application of the applicant enterprise which manly targets markets outside Hong Kong.</w:t>
            </w:r>
          </w:p>
        </w:tc>
        <w:tc>
          <w:tcPr>
            <w:tcW w:w="1560" w:type="pct"/>
          </w:tcPr>
          <w:p w:rsidR="00E002B1" w:rsidRDefault="002E579A" w:rsidP="00547592">
            <w:pPr>
              <w:numPr>
                <w:ilvl w:val="1"/>
                <w:numId w:val="1"/>
              </w:numPr>
              <w:ind w:left="345" w:hanging="270"/>
            </w:pPr>
            <w:r>
              <w:lastRenderedPageBreak/>
              <w:t>Only the following expenditures are eligible for funding support under EMF:</w:t>
            </w:r>
          </w:p>
          <w:p w:rsidR="00E002B1" w:rsidRDefault="002E579A" w:rsidP="00547592">
            <w:pPr>
              <w:numPr>
                <w:ilvl w:val="2"/>
                <w:numId w:val="6"/>
              </w:numPr>
              <w:ind w:left="345" w:hanging="270"/>
            </w:pPr>
            <w:r>
              <w:t>Rental fee for exhibition booths or other rental fees charged by or</w:t>
            </w:r>
            <w:r>
              <w:t>ganisers/co-organisers.</w:t>
            </w:r>
          </w:p>
          <w:p w:rsidR="00E002B1" w:rsidRDefault="002E579A" w:rsidP="00547592">
            <w:pPr>
              <w:numPr>
                <w:ilvl w:val="2"/>
                <w:numId w:val="6"/>
              </w:numPr>
              <w:ind w:left="345" w:hanging="270"/>
            </w:pPr>
            <w:r>
              <w:t>Construction, set-up and design fee of booth, transportation expenses for the components of the booth and exhibits, and other rental charges for booth furniture.</w:t>
            </w:r>
          </w:p>
          <w:p w:rsidR="00E002B1" w:rsidRDefault="002E579A" w:rsidP="00547592">
            <w:pPr>
              <w:numPr>
                <w:ilvl w:val="2"/>
                <w:numId w:val="6"/>
              </w:numPr>
              <w:ind w:left="345" w:hanging="270"/>
            </w:pPr>
            <w:r>
              <w:t xml:space="preserve">Participation fee </w:t>
            </w:r>
            <w:r>
              <w:lastRenderedPageBreak/>
              <w:t>charged by organiser/co-organiser.</w:t>
            </w:r>
          </w:p>
          <w:p w:rsidR="00E002B1" w:rsidRDefault="002E579A" w:rsidP="00547592">
            <w:pPr>
              <w:numPr>
                <w:ilvl w:val="2"/>
                <w:numId w:val="6"/>
              </w:numPr>
              <w:ind w:left="345" w:hanging="270"/>
            </w:pPr>
            <w:r>
              <w:t>Advertisement fee</w:t>
            </w:r>
            <w:r>
              <w:t xml:space="preserve"> and fee for printing brochures/leaflets bearing the full company name of the applicant enterprise and the activity concerned.</w:t>
            </w:r>
          </w:p>
          <w:p w:rsidR="00E002B1" w:rsidRDefault="002E579A" w:rsidP="00547592">
            <w:pPr>
              <w:numPr>
                <w:ilvl w:val="2"/>
                <w:numId w:val="6"/>
              </w:numPr>
              <w:ind w:left="345" w:hanging="270"/>
            </w:pPr>
            <w:r>
              <w:t>Travelling and hotel expenses for applicant enterprises’ representatives.</w:t>
            </w:r>
          </w:p>
          <w:p w:rsidR="00E002B1" w:rsidRDefault="002E579A" w:rsidP="00547592">
            <w:pPr>
              <w:numPr>
                <w:ilvl w:val="2"/>
                <w:numId w:val="6"/>
              </w:numPr>
              <w:ind w:left="345" w:hanging="270"/>
            </w:pPr>
            <w:r>
              <w:t>Non-recurrent fee for product information listing for s</w:t>
            </w:r>
            <w:r>
              <w:t>ales purpose, setting up/enhancing and promoting online shop on electronic platforms/media.</w:t>
            </w:r>
          </w:p>
          <w:p w:rsidR="00E002B1" w:rsidRDefault="002E579A" w:rsidP="00547592">
            <w:pPr>
              <w:numPr>
                <w:ilvl w:val="2"/>
                <w:numId w:val="6"/>
              </w:numPr>
              <w:ind w:left="345" w:hanging="270"/>
            </w:pPr>
            <w:r>
              <w:t>Non-recurrent fee for setting up/enhancing the corporate website/mobile application.</w:t>
            </w:r>
          </w:p>
        </w:tc>
      </w:tr>
    </w:tbl>
    <w:p w:rsidR="00E002B1" w:rsidRDefault="002E579A">
      <w:pPr>
        <w:numPr>
          <w:ilvl w:val="1"/>
          <w:numId w:val="1"/>
        </w:numPr>
      </w:pPr>
      <w:r>
        <w:lastRenderedPageBreak/>
        <w:t xml:space="preserve">Click </w:t>
      </w:r>
      <w:hyperlink r:id="rId11">
        <w:r>
          <w:t>here</w:t>
        </w:r>
      </w:hyperlink>
      <w:r>
        <w:t xml:space="preserve"> for detailed application procedures.</w:t>
      </w:r>
    </w:p>
    <w:p w:rsidR="00E002B1" w:rsidRDefault="002E579A">
      <w:pPr>
        <w:numPr>
          <w:ilvl w:val="1"/>
          <w:numId w:val="1"/>
        </w:numPr>
      </w:pPr>
      <w:r>
        <w:t> </w:t>
      </w:r>
    </w:p>
    <w:p w:rsidR="00E002B1" w:rsidRDefault="002E579A">
      <w:pPr>
        <w:numPr>
          <w:ilvl w:val="1"/>
          <w:numId w:val="3"/>
        </w:numPr>
      </w:pPr>
      <w:r>
        <w:t>SME Loan Guarantee Scheme</w:t>
      </w:r>
    </w:p>
    <w:p w:rsidR="00E002B1" w:rsidRDefault="002E579A" w:rsidP="002E579A">
      <w:pPr>
        <w:numPr>
          <w:ilvl w:val="1"/>
          <w:numId w:val="1"/>
        </w:numPr>
        <w:jc w:val="both"/>
      </w:pPr>
      <w:r>
        <w:t>The SME Loan Guarantee Scheme (</w:t>
      </w:r>
      <w:r>
        <w:rPr>
          <w:b/>
        </w:rPr>
        <w:t>SGS</w:t>
      </w:r>
      <w:r>
        <w:t>) provides a loan guarantee to SMEs. The aim of the SGS is to assist qualifying SMEs in securing loans from the participating lending institut</w:t>
      </w:r>
      <w:r>
        <w:t>ions (</w:t>
      </w:r>
      <w:r>
        <w:rPr>
          <w:b/>
        </w:rPr>
        <w:t>PLIs</w:t>
      </w:r>
      <w:r>
        <w:t>) for the purposes of acquiring business installations and equipment or for meeting working capital needs of general business use of the SMEs.</w:t>
      </w:r>
    </w:p>
    <w:tbl>
      <w:tblPr>
        <w:tblW w:w="4342"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970"/>
        <w:gridCol w:w="3361"/>
        <w:gridCol w:w="2695"/>
      </w:tblGrid>
      <w:tr w:rsidR="00E002B1" w:rsidTr="00547592">
        <w:tc>
          <w:tcPr>
            <w:tcW w:w="1645" w:type="pct"/>
            <w:vAlign w:val="center"/>
          </w:tcPr>
          <w:p w:rsidR="00E002B1" w:rsidRDefault="002E579A" w:rsidP="00547592">
            <w:pPr>
              <w:pStyle w:val="Compact"/>
              <w:numPr>
                <w:ilvl w:val="1"/>
                <w:numId w:val="1"/>
              </w:numPr>
              <w:ind w:left="345" w:hanging="345"/>
              <w:jc w:val="left"/>
            </w:pPr>
            <w:r>
              <w:t>Eligibility</w:t>
            </w:r>
          </w:p>
        </w:tc>
        <w:tc>
          <w:tcPr>
            <w:tcW w:w="1862" w:type="pct"/>
            <w:vAlign w:val="center"/>
          </w:tcPr>
          <w:p w:rsidR="00E002B1" w:rsidRDefault="002E579A" w:rsidP="00547592">
            <w:pPr>
              <w:pStyle w:val="Compact"/>
              <w:numPr>
                <w:ilvl w:val="1"/>
                <w:numId w:val="1"/>
              </w:numPr>
              <w:ind w:left="345" w:hanging="345"/>
              <w:jc w:val="left"/>
            </w:pPr>
            <w:r>
              <w:t>Funding Scope</w:t>
            </w:r>
          </w:p>
        </w:tc>
        <w:tc>
          <w:tcPr>
            <w:tcW w:w="0" w:type="auto"/>
            <w:vAlign w:val="center"/>
          </w:tcPr>
          <w:p w:rsidR="00E002B1" w:rsidRDefault="002E579A" w:rsidP="00547592">
            <w:pPr>
              <w:pStyle w:val="Compact"/>
              <w:numPr>
                <w:ilvl w:val="1"/>
                <w:numId w:val="1"/>
              </w:numPr>
              <w:ind w:left="345" w:hanging="345"/>
              <w:jc w:val="left"/>
            </w:pPr>
            <w:r>
              <w:t>Restrictions on Funding Expenditures</w:t>
            </w:r>
          </w:p>
        </w:tc>
      </w:tr>
      <w:tr w:rsidR="00E002B1" w:rsidTr="00547592">
        <w:tc>
          <w:tcPr>
            <w:tcW w:w="1645" w:type="pct"/>
          </w:tcPr>
          <w:p w:rsidR="00E002B1" w:rsidRDefault="002E579A" w:rsidP="00547592">
            <w:pPr>
              <w:numPr>
                <w:ilvl w:val="2"/>
                <w:numId w:val="4"/>
              </w:numPr>
              <w:ind w:left="345" w:hanging="270"/>
            </w:pPr>
            <w:r>
              <w:t xml:space="preserve">Registered under the </w:t>
            </w:r>
            <w:hyperlink r:id="rId12">
              <w:r>
                <w:t>Business Registration Ordinance (Cap. 310)</w:t>
              </w:r>
            </w:hyperlink>
            <w:r>
              <w:t xml:space="preserve"> and with substantive business operations in Hong Kong (Please click here to see the guideline on the </w:t>
            </w:r>
            <w:r>
              <w:lastRenderedPageBreak/>
              <w:t>requirement of “</w:t>
            </w:r>
            <w:hyperlink r:id="rId13" w:anchor="dtl0101">
              <w:r>
                <w:t>substantive business operation</w:t>
              </w:r>
            </w:hyperlink>
            <w:r>
              <w:t>”).</w:t>
            </w:r>
          </w:p>
          <w:p w:rsidR="00E002B1" w:rsidRDefault="002E579A" w:rsidP="00547592">
            <w:pPr>
              <w:numPr>
                <w:ilvl w:val="2"/>
                <w:numId w:val="4"/>
              </w:numPr>
              <w:ind w:left="345" w:hanging="270"/>
            </w:pPr>
            <w:r>
              <w:t>An enterprise must meet the definition of an SME (i.e. manufacturing business – less than 100 employees; non-manufacturing business – less than 50 employees).</w:t>
            </w:r>
          </w:p>
          <w:p w:rsidR="00E002B1" w:rsidRDefault="002E579A" w:rsidP="00547592">
            <w:pPr>
              <w:numPr>
                <w:ilvl w:val="2"/>
                <w:numId w:val="4"/>
              </w:numPr>
              <w:ind w:left="345" w:hanging="270"/>
            </w:pPr>
            <w:r>
              <w:t>Not an asso</w:t>
            </w:r>
            <w:r>
              <w:t>ciate of the lender.</w:t>
            </w:r>
          </w:p>
          <w:p w:rsidR="00E002B1" w:rsidRDefault="002E579A" w:rsidP="00547592">
            <w:pPr>
              <w:numPr>
                <w:ilvl w:val="2"/>
                <w:numId w:val="4"/>
              </w:numPr>
              <w:ind w:left="345" w:hanging="270"/>
            </w:pPr>
            <w:r>
              <w:t>Not carrying on the business of a lender.</w:t>
            </w:r>
          </w:p>
        </w:tc>
        <w:tc>
          <w:tcPr>
            <w:tcW w:w="1862" w:type="pct"/>
          </w:tcPr>
          <w:p w:rsidR="00E002B1" w:rsidRDefault="002E579A" w:rsidP="00547592">
            <w:pPr>
              <w:numPr>
                <w:ilvl w:val="2"/>
                <w:numId w:val="4"/>
              </w:numPr>
              <w:ind w:left="345" w:hanging="270"/>
            </w:pPr>
            <w:r>
              <w:lastRenderedPageBreak/>
              <w:t xml:space="preserve">Business installations and equipment loans: for acquiring installations or equipment relating to the applicant's business operation, which may include machinery, tools, computer software and </w:t>
            </w:r>
            <w:r>
              <w:lastRenderedPageBreak/>
              <w:t>ha</w:t>
            </w:r>
            <w:r>
              <w:t>rdware, communication system, office equipment, transport facilities, furniture, and fixtures.</w:t>
            </w:r>
          </w:p>
          <w:p w:rsidR="00E002B1" w:rsidRDefault="002E579A" w:rsidP="00547592">
            <w:pPr>
              <w:numPr>
                <w:ilvl w:val="2"/>
                <w:numId w:val="4"/>
              </w:numPr>
              <w:ind w:left="345" w:hanging="270"/>
            </w:pPr>
            <w:r>
              <w:t>Working capital loans: for meeting working capital needs of general business uses.</w:t>
            </w:r>
          </w:p>
        </w:tc>
        <w:tc>
          <w:tcPr>
            <w:tcW w:w="0" w:type="auto"/>
          </w:tcPr>
          <w:p w:rsidR="00E002B1" w:rsidRDefault="002E579A" w:rsidP="00547592">
            <w:pPr>
              <w:numPr>
                <w:ilvl w:val="2"/>
                <w:numId w:val="4"/>
              </w:numPr>
              <w:ind w:left="345" w:hanging="270"/>
            </w:pPr>
            <w:r>
              <w:lastRenderedPageBreak/>
              <w:t>SGS is restricted to two forms of loans: business installation and equipment l</w:t>
            </w:r>
            <w:r>
              <w:t>oans and working capital loans.</w:t>
            </w:r>
          </w:p>
        </w:tc>
      </w:tr>
    </w:tbl>
    <w:p w:rsidR="00E002B1" w:rsidRDefault="002E579A">
      <w:pPr>
        <w:numPr>
          <w:ilvl w:val="1"/>
          <w:numId w:val="1"/>
        </w:numPr>
      </w:pPr>
      <w:r>
        <w:lastRenderedPageBreak/>
        <w:t xml:space="preserve">Click </w:t>
      </w:r>
      <w:hyperlink r:id="rId14">
        <w:r>
          <w:t>here</w:t>
        </w:r>
      </w:hyperlink>
      <w:r>
        <w:t xml:space="preserve"> for detailed application procedures.</w:t>
      </w:r>
    </w:p>
    <w:p w:rsidR="00E002B1" w:rsidRDefault="002E579A">
      <w:pPr>
        <w:numPr>
          <w:ilvl w:val="1"/>
          <w:numId w:val="1"/>
        </w:numPr>
      </w:pPr>
      <w:r>
        <w:t> </w:t>
      </w:r>
    </w:p>
    <w:p w:rsidR="00E002B1" w:rsidRDefault="002E579A">
      <w:pPr>
        <w:numPr>
          <w:ilvl w:val="1"/>
          <w:numId w:val="3"/>
        </w:numPr>
      </w:pPr>
      <w:r>
        <w:t>Trade and Industrial Organisation Support Fund</w:t>
      </w:r>
    </w:p>
    <w:p w:rsidR="00E002B1" w:rsidRDefault="002E579A" w:rsidP="002E579A">
      <w:pPr>
        <w:numPr>
          <w:ilvl w:val="1"/>
          <w:numId w:val="1"/>
        </w:numPr>
        <w:jc w:val="both"/>
      </w:pPr>
      <w:r>
        <w:t>The Trade and Industrial Organisation Support Fund (</w:t>
      </w:r>
      <w:r>
        <w:rPr>
          <w:b/>
        </w:rPr>
        <w:t>TSF</w:t>
      </w:r>
      <w:r>
        <w:t>) provides financial support to non-profit-distributing organisations to implement projects which aim at enhancing the competitiveness of non-listed Hong Kong enterprises in general or in specific sect</w:t>
      </w:r>
      <w:r>
        <w:t>ors. Examples of activities under the projects may include, workshops, conferences, research studies and exhibitions.</w:t>
      </w:r>
    </w:p>
    <w:tbl>
      <w:tblPr>
        <w:tblW w:w="4342"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3059"/>
        <w:gridCol w:w="3331"/>
        <w:gridCol w:w="2636"/>
      </w:tblGrid>
      <w:tr w:rsidR="00E002B1" w:rsidTr="002E579A">
        <w:tc>
          <w:tcPr>
            <w:tcW w:w="1695" w:type="pct"/>
            <w:vAlign w:val="center"/>
          </w:tcPr>
          <w:p w:rsidR="00E002B1" w:rsidRDefault="002E579A" w:rsidP="00547592">
            <w:pPr>
              <w:pStyle w:val="Compact"/>
              <w:numPr>
                <w:ilvl w:val="1"/>
                <w:numId w:val="1"/>
              </w:numPr>
              <w:ind w:left="345" w:hanging="345"/>
              <w:jc w:val="left"/>
            </w:pPr>
            <w:r>
              <w:t>Eligibility</w:t>
            </w:r>
          </w:p>
        </w:tc>
        <w:tc>
          <w:tcPr>
            <w:tcW w:w="1845" w:type="pct"/>
            <w:vAlign w:val="center"/>
          </w:tcPr>
          <w:p w:rsidR="00E002B1" w:rsidRDefault="002E579A" w:rsidP="00547592">
            <w:pPr>
              <w:pStyle w:val="Compact"/>
              <w:numPr>
                <w:ilvl w:val="1"/>
                <w:numId w:val="1"/>
              </w:numPr>
              <w:ind w:left="345" w:hanging="345"/>
              <w:jc w:val="left"/>
            </w:pPr>
            <w:r>
              <w:t>Funding Scope</w:t>
            </w:r>
          </w:p>
        </w:tc>
        <w:tc>
          <w:tcPr>
            <w:tcW w:w="1460" w:type="pct"/>
            <w:vAlign w:val="center"/>
          </w:tcPr>
          <w:p w:rsidR="00E002B1" w:rsidRDefault="002E579A" w:rsidP="00547592">
            <w:pPr>
              <w:pStyle w:val="Compact"/>
              <w:numPr>
                <w:ilvl w:val="1"/>
                <w:numId w:val="1"/>
              </w:numPr>
              <w:ind w:left="345" w:hanging="345"/>
              <w:jc w:val="left"/>
            </w:pPr>
            <w:r>
              <w:t>Disbursement of Funds</w:t>
            </w:r>
          </w:p>
        </w:tc>
      </w:tr>
      <w:tr w:rsidR="00E002B1" w:rsidTr="00547592">
        <w:tc>
          <w:tcPr>
            <w:tcW w:w="1695" w:type="pct"/>
          </w:tcPr>
          <w:p w:rsidR="00E002B1" w:rsidRDefault="002E579A" w:rsidP="00547592">
            <w:pPr>
              <w:numPr>
                <w:ilvl w:val="2"/>
                <w:numId w:val="4"/>
              </w:numPr>
              <w:ind w:left="345" w:hanging="270"/>
            </w:pPr>
            <w:r>
              <w:t>Non-profit-distributing organisations (those which do not distribute profits to their dir</w:t>
            </w:r>
            <w:r>
              <w:t>ectors, shareholders, employees or any other persons).</w:t>
            </w:r>
          </w:p>
          <w:p w:rsidR="00E002B1" w:rsidRDefault="002E579A" w:rsidP="00547592">
            <w:pPr>
              <w:numPr>
                <w:ilvl w:val="2"/>
                <w:numId w:val="4"/>
              </w:numPr>
              <w:ind w:left="345" w:hanging="270"/>
            </w:pPr>
            <w:r>
              <w:t>Applicants should either be statutory organisations or organisations registered under Hong Kong laws.</w:t>
            </w:r>
          </w:p>
          <w:p w:rsidR="00E002B1" w:rsidRDefault="002E579A" w:rsidP="00547592">
            <w:pPr>
              <w:numPr>
                <w:ilvl w:val="2"/>
                <w:numId w:val="4"/>
              </w:numPr>
              <w:ind w:left="345" w:hanging="270"/>
            </w:pPr>
            <w:r>
              <w:t>The applicant may engage an implementation agent to assist in carrying out the project. It should p</w:t>
            </w:r>
            <w:r>
              <w:t xml:space="preserve">rovide evidence in the application form (e.g. </w:t>
            </w:r>
            <w:r>
              <w:lastRenderedPageBreak/>
              <w:t>curriculum vitae of key project team members) to demonstrate that the agent has the capability to implement the project effectively.</w:t>
            </w:r>
          </w:p>
          <w:p w:rsidR="00E002B1" w:rsidRDefault="002E579A" w:rsidP="00547592">
            <w:pPr>
              <w:numPr>
                <w:ilvl w:val="2"/>
                <w:numId w:val="4"/>
              </w:numPr>
              <w:ind w:left="345" w:hanging="270"/>
            </w:pPr>
            <w:r>
              <w:t>The applicant may also seek support from relevant organisations (other than f</w:t>
            </w:r>
            <w:r>
              <w:t>or-profit commercial entities or those with political affiliations) to act as collaborating organisations for the project.</w:t>
            </w:r>
          </w:p>
        </w:tc>
        <w:tc>
          <w:tcPr>
            <w:tcW w:w="1845" w:type="pct"/>
          </w:tcPr>
          <w:p w:rsidR="00E002B1" w:rsidRDefault="002E579A" w:rsidP="00547592">
            <w:pPr>
              <w:numPr>
                <w:ilvl w:val="2"/>
                <w:numId w:val="4"/>
              </w:numPr>
              <w:ind w:left="345" w:hanging="270"/>
            </w:pPr>
            <w:r>
              <w:lastRenderedPageBreak/>
              <w:t>All projects that are conducive to enhancing the competitiveness of non-listed Hong Kong enterprises in general or in specific sector</w:t>
            </w:r>
            <w:r>
              <w:t>s. The following items directly incurred for the project may be funded:</w:t>
            </w:r>
          </w:p>
          <w:p w:rsidR="00E002B1" w:rsidRDefault="002E579A" w:rsidP="00547592">
            <w:pPr>
              <w:numPr>
                <w:ilvl w:val="2"/>
                <w:numId w:val="4"/>
              </w:numPr>
              <w:ind w:left="345" w:hanging="270"/>
            </w:pPr>
            <w:r>
              <w:t>Manpower (such as salaries).</w:t>
            </w:r>
          </w:p>
          <w:p w:rsidR="00E002B1" w:rsidRDefault="002E579A" w:rsidP="00547592">
            <w:pPr>
              <w:numPr>
                <w:ilvl w:val="2"/>
                <w:numId w:val="4"/>
              </w:numPr>
              <w:ind w:left="345" w:hanging="270"/>
            </w:pPr>
            <w:r>
              <w:t>The cost of procuring or leasing of additional equipment for implementing the project.</w:t>
            </w:r>
          </w:p>
          <w:p w:rsidR="00E002B1" w:rsidRDefault="002E579A" w:rsidP="00547592">
            <w:pPr>
              <w:numPr>
                <w:ilvl w:val="2"/>
                <w:numId w:val="4"/>
              </w:numPr>
              <w:ind w:left="345" w:hanging="270"/>
            </w:pPr>
            <w:r>
              <w:t xml:space="preserve">The fee paid to an implementation agent for assisting the applicant </w:t>
            </w:r>
            <w:r>
              <w:t xml:space="preserve">in </w:t>
            </w:r>
            <w:r>
              <w:lastRenderedPageBreak/>
              <w:t>carrying out the project.</w:t>
            </w:r>
          </w:p>
          <w:p w:rsidR="00E002B1" w:rsidRDefault="002E579A" w:rsidP="00547592">
            <w:pPr>
              <w:numPr>
                <w:ilvl w:val="2"/>
                <w:numId w:val="4"/>
              </w:numPr>
              <w:ind w:left="345" w:hanging="270"/>
            </w:pPr>
            <w:r>
              <w:t>Other direct costs, which may include expenses for consumables, external consultancy fees, production and promotion costs of project deliverables, travelling expenses, external audit fees, and patent registration fee.</w:t>
            </w:r>
          </w:p>
        </w:tc>
        <w:tc>
          <w:tcPr>
            <w:tcW w:w="1460" w:type="pct"/>
          </w:tcPr>
          <w:p w:rsidR="00E002B1" w:rsidRDefault="002E579A" w:rsidP="00547592">
            <w:pPr>
              <w:numPr>
                <w:ilvl w:val="2"/>
                <w:numId w:val="4"/>
              </w:numPr>
              <w:ind w:left="345" w:hanging="270"/>
            </w:pPr>
            <w:r>
              <w:lastRenderedPageBreak/>
              <w:t>Funds will generally be disbursed in two or three instalments, according to the cashflow projection as stipulated in the approved project proposal. The first instalment would be disbursed upon signing of the project agreement.</w:t>
            </w:r>
          </w:p>
          <w:p w:rsidR="00E002B1" w:rsidRDefault="002E579A" w:rsidP="00547592">
            <w:pPr>
              <w:numPr>
                <w:ilvl w:val="2"/>
                <w:numId w:val="4"/>
              </w:numPr>
              <w:ind w:left="345" w:hanging="270"/>
            </w:pPr>
            <w:r>
              <w:t>Subsequent instalment(s) will</w:t>
            </w:r>
            <w:r>
              <w:t xml:space="preserve"> be disbursed upon acceptance of the progress report(s) and audited accounts.</w:t>
            </w:r>
          </w:p>
        </w:tc>
      </w:tr>
    </w:tbl>
    <w:p w:rsidR="00E002B1" w:rsidRDefault="002E579A">
      <w:pPr>
        <w:numPr>
          <w:ilvl w:val="1"/>
          <w:numId w:val="1"/>
        </w:numPr>
      </w:pPr>
      <w:r>
        <w:t xml:space="preserve">Click </w:t>
      </w:r>
      <w:hyperlink r:id="rId15">
        <w:r>
          <w:t>here</w:t>
        </w:r>
      </w:hyperlink>
      <w:r>
        <w:t xml:space="preserve"> for detailed application procedures.</w:t>
      </w:r>
    </w:p>
    <w:p w:rsidR="00E002B1" w:rsidRDefault="002E579A">
      <w:pPr>
        <w:numPr>
          <w:ilvl w:val="1"/>
          <w:numId w:val="1"/>
        </w:numPr>
      </w:pPr>
      <w:r>
        <w:t> </w:t>
      </w:r>
    </w:p>
    <w:p w:rsidR="00E002B1" w:rsidRDefault="002E579A">
      <w:pPr>
        <w:numPr>
          <w:ilvl w:val="0"/>
          <w:numId w:val="2"/>
        </w:numPr>
      </w:pPr>
      <w:r>
        <w:rPr>
          <w:b/>
        </w:rPr>
        <w:t>Other Government Funding Schemes</w:t>
      </w:r>
    </w:p>
    <w:p w:rsidR="00E002B1" w:rsidRDefault="002E579A" w:rsidP="002E579A">
      <w:pPr>
        <w:numPr>
          <w:ilvl w:val="1"/>
          <w:numId w:val="13"/>
        </w:numPr>
        <w:jc w:val="both"/>
      </w:pPr>
      <w:r>
        <w:t>Innovation a</w:t>
      </w:r>
      <w:r>
        <w:t>nd Technology Fund for Better Living</w:t>
      </w:r>
    </w:p>
    <w:p w:rsidR="00E002B1" w:rsidRDefault="002E579A" w:rsidP="002E579A">
      <w:pPr>
        <w:numPr>
          <w:ilvl w:val="1"/>
          <w:numId w:val="1"/>
        </w:numPr>
        <w:jc w:val="both"/>
      </w:pPr>
      <w:r>
        <w:t>This fund subsidises innovation and technology projects which will bring more convenient, more comfortable and safer living to the public, or those addressing the needs of specific community groups.</w:t>
      </w:r>
    </w:p>
    <w:tbl>
      <w:tblPr>
        <w:tblW w:w="4342"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3060"/>
        <w:gridCol w:w="3352"/>
        <w:gridCol w:w="2614"/>
      </w:tblGrid>
      <w:tr w:rsidR="00E002B1" w:rsidTr="002E579A">
        <w:tc>
          <w:tcPr>
            <w:tcW w:w="1695" w:type="pct"/>
            <w:vAlign w:val="center"/>
          </w:tcPr>
          <w:p w:rsidR="00E002B1" w:rsidRDefault="002E579A" w:rsidP="002E579A">
            <w:pPr>
              <w:pStyle w:val="Compact"/>
              <w:numPr>
                <w:ilvl w:val="1"/>
                <w:numId w:val="1"/>
              </w:numPr>
              <w:ind w:left="345" w:hanging="345"/>
              <w:jc w:val="left"/>
            </w:pPr>
            <w:r>
              <w:t>Eligibility</w:t>
            </w:r>
          </w:p>
        </w:tc>
        <w:tc>
          <w:tcPr>
            <w:tcW w:w="1857" w:type="pct"/>
            <w:vAlign w:val="center"/>
          </w:tcPr>
          <w:p w:rsidR="00E002B1" w:rsidRDefault="002E579A" w:rsidP="002E579A">
            <w:pPr>
              <w:pStyle w:val="Compact"/>
              <w:numPr>
                <w:ilvl w:val="1"/>
                <w:numId w:val="1"/>
              </w:numPr>
              <w:ind w:left="345" w:hanging="345"/>
              <w:jc w:val="left"/>
            </w:pPr>
            <w:r>
              <w:t xml:space="preserve">Funding </w:t>
            </w:r>
            <w:r>
              <w:t>Scope</w:t>
            </w:r>
          </w:p>
        </w:tc>
        <w:tc>
          <w:tcPr>
            <w:tcW w:w="0" w:type="auto"/>
            <w:vAlign w:val="center"/>
          </w:tcPr>
          <w:p w:rsidR="00E002B1" w:rsidRDefault="002E579A" w:rsidP="002E579A">
            <w:pPr>
              <w:pStyle w:val="Compact"/>
              <w:numPr>
                <w:ilvl w:val="1"/>
                <w:numId w:val="1"/>
              </w:numPr>
              <w:ind w:left="345" w:hanging="345"/>
              <w:jc w:val="left"/>
            </w:pPr>
            <w:r>
              <w:t>Assessment Mechanism and Criteria</w:t>
            </w:r>
          </w:p>
        </w:tc>
      </w:tr>
      <w:tr w:rsidR="00E002B1" w:rsidTr="002E579A">
        <w:tc>
          <w:tcPr>
            <w:tcW w:w="1695" w:type="pct"/>
          </w:tcPr>
          <w:p w:rsidR="00E002B1" w:rsidRDefault="002E579A" w:rsidP="002E579A">
            <w:pPr>
              <w:numPr>
                <w:ilvl w:val="2"/>
                <w:numId w:val="4"/>
              </w:numPr>
              <w:ind w:left="345" w:hanging="270"/>
            </w:pPr>
            <w:r>
              <w:t>Non-governmental organisations receiving subvention from the Social Welfare Department.</w:t>
            </w:r>
          </w:p>
          <w:p w:rsidR="00E002B1" w:rsidRDefault="002E579A" w:rsidP="002E579A">
            <w:pPr>
              <w:numPr>
                <w:ilvl w:val="2"/>
                <w:numId w:val="4"/>
              </w:numPr>
              <w:ind w:left="345" w:hanging="270"/>
            </w:pPr>
            <w:r>
              <w:t>Public bodies under section 2 of the Prevention of Bribery Ordinance (Cap. 201), except the Government Bureaux/Departments, the Executive Council and the Legislative Council.</w:t>
            </w:r>
          </w:p>
          <w:p w:rsidR="00E002B1" w:rsidRDefault="002E579A" w:rsidP="002E579A">
            <w:pPr>
              <w:numPr>
                <w:ilvl w:val="2"/>
                <w:numId w:val="4"/>
              </w:numPr>
              <w:ind w:left="345" w:hanging="270"/>
            </w:pPr>
            <w:r>
              <w:t>Professional bodies.</w:t>
            </w:r>
          </w:p>
          <w:p w:rsidR="00E002B1" w:rsidRDefault="002E579A" w:rsidP="002E579A">
            <w:pPr>
              <w:numPr>
                <w:ilvl w:val="2"/>
                <w:numId w:val="4"/>
              </w:numPr>
              <w:ind w:left="345" w:hanging="270"/>
            </w:pPr>
            <w:r>
              <w:t>Trade associations.</w:t>
            </w:r>
          </w:p>
          <w:p w:rsidR="00E002B1" w:rsidRDefault="002E579A" w:rsidP="002E579A">
            <w:pPr>
              <w:numPr>
                <w:ilvl w:val="2"/>
                <w:numId w:val="4"/>
              </w:numPr>
              <w:ind w:left="345" w:hanging="270"/>
            </w:pPr>
            <w:r>
              <w:t xml:space="preserve">Social service organisations exempted from tax under Section </w:t>
            </w:r>
            <w:r>
              <w:lastRenderedPageBreak/>
              <w:t>88 of the Inland Revenue Ordinance (Cap. 112).</w:t>
            </w:r>
          </w:p>
        </w:tc>
        <w:tc>
          <w:tcPr>
            <w:tcW w:w="1857" w:type="pct"/>
          </w:tcPr>
          <w:p w:rsidR="00E002B1" w:rsidRDefault="002E579A" w:rsidP="002E579A">
            <w:pPr>
              <w:numPr>
                <w:ilvl w:val="2"/>
                <w:numId w:val="4"/>
              </w:numPr>
              <w:ind w:left="345" w:hanging="270"/>
            </w:pPr>
            <w:r>
              <w:lastRenderedPageBreak/>
              <w:t>Projects that benefit the public, which are in line with government policies, and involve the innovative application of technologies.</w:t>
            </w:r>
          </w:p>
          <w:p w:rsidR="00E002B1" w:rsidRDefault="002E579A" w:rsidP="002E579A">
            <w:pPr>
              <w:numPr>
                <w:ilvl w:val="2"/>
                <w:numId w:val="4"/>
              </w:numPr>
              <w:ind w:left="345" w:hanging="270"/>
            </w:pPr>
            <w:r>
              <w:t>Projects may t</w:t>
            </w:r>
            <w:r>
              <w:t>ake the form of mobile applications, products, devices, equipment, tools, services, software, or any other forms with valid justifications.</w:t>
            </w:r>
          </w:p>
          <w:p w:rsidR="00E002B1" w:rsidRDefault="002E579A" w:rsidP="002E579A">
            <w:pPr>
              <w:numPr>
                <w:ilvl w:val="2"/>
                <w:numId w:val="4"/>
              </w:numPr>
              <w:ind w:left="345" w:hanging="270"/>
            </w:pPr>
            <w:r>
              <w:t>Projects should be completed within 12 months, and run for at least two consecutive years.</w:t>
            </w:r>
          </w:p>
          <w:p w:rsidR="00E002B1" w:rsidRDefault="002E579A" w:rsidP="002E579A">
            <w:pPr>
              <w:numPr>
                <w:ilvl w:val="2"/>
                <w:numId w:val="4"/>
              </w:numPr>
              <w:ind w:left="345" w:hanging="270"/>
            </w:pPr>
            <w:r>
              <w:t>Projects should not be pr</w:t>
            </w:r>
            <w:r>
              <w:t xml:space="preserve">ofit-making during the </w:t>
            </w:r>
            <w:r>
              <w:lastRenderedPageBreak/>
              <w:t>funding period.</w:t>
            </w:r>
          </w:p>
          <w:p w:rsidR="00E002B1" w:rsidRDefault="002E579A" w:rsidP="002E579A">
            <w:pPr>
              <w:numPr>
                <w:ilvl w:val="2"/>
                <w:numId w:val="4"/>
              </w:numPr>
              <w:ind w:left="345" w:hanging="270"/>
            </w:pPr>
            <w:r>
              <w:t>Projects should primarily be developed within Hong Kong.</w:t>
            </w:r>
          </w:p>
        </w:tc>
        <w:tc>
          <w:tcPr>
            <w:tcW w:w="0" w:type="auto"/>
          </w:tcPr>
          <w:p w:rsidR="00E002B1" w:rsidRDefault="002E579A" w:rsidP="002E579A">
            <w:pPr>
              <w:numPr>
                <w:ilvl w:val="2"/>
                <w:numId w:val="4"/>
              </w:numPr>
              <w:ind w:left="345" w:hanging="270"/>
            </w:pPr>
            <w:r>
              <w:lastRenderedPageBreak/>
              <w:t>Benefits brought to the public or specific community group(s).</w:t>
            </w:r>
          </w:p>
          <w:p w:rsidR="00E002B1" w:rsidRDefault="002E579A" w:rsidP="002E579A">
            <w:pPr>
              <w:numPr>
                <w:ilvl w:val="2"/>
                <w:numId w:val="4"/>
              </w:numPr>
              <w:ind w:left="345" w:hanging="270"/>
            </w:pPr>
            <w:r>
              <w:t>Innovation and technology content.</w:t>
            </w:r>
          </w:p>
          <w:p w:rsidR="00E002B1" w:rsidRDefault="002E579A" w:rsidP="002E579A">
            <w:pPr>
              <w:numPr>
                <w:ilvl w:val="2"/>
                <w:numId w:val="4"/>
              </w:numPr>
              <w:ind w:left="345" w:hanging="270"/>
            </w:pPr>
            <w:r>
              <w:t>Feasibility and sustainability.</w:t>
            </w:r>
          </w:p>
          <w:p w:rsidR="00E002B1" w:rsidRDefault="002E579A" w:rsidP="002E579A">
            <w:pPr>
              <w:numPr>
                <w:ilvl w:val="2"/>
                <w:numId w:val="4"/>
              </w:numPr>
              <w:ind w:left="345" w:hanging="270"/>
            </w:pPr>
            <w:r>
              <w:t>Financial considerations.</w:t>
            </w:r>
          </w:p>
          <w:p w:rsidR="00E002B1" w:rsidRDefault="002E579A" w:rsidP="002E579A">
            <w:pPr>
              <w:numPr>
                <w:ilvl w:val="2"/>
                <w:numId w:val="4"/>
              </w:numPr>
              <w:ind w:left="345" w:hanging="270"/>
            </w:pPr>
            <w:r>
              <w:t>Tech</w:t>
            </w:r>
            <w:r>
              <w:t>nical and management capability of the applicant.</w:t>
            </w:r>
          </w:p>
        </w:tc>
      </w:tr>
    </w:tbl>
    <w:p w:rsidR="00E002B1" w:rsidRDefault="002E579A">
      <w:pPr>
        <w:numPr>
          <w:ilvl w:val="1"/>
          <w:numId w:val="1"/>
        </w:numPr>
      </w:pPr>
      <w:r>
        <w:t xml:space="preserve">Click </w:t>
      </w:r>
      <w:hyperlink r:id="rId16">
        <w:r>
          <w:t>here</w:t>
        </w:r>
      </w:hyperlink>
      <w:r>
        <w:t xml:space="preserve"> to apply now.</w:t>
      </w:r>
    </w:p>
    <w:p w:rsidR="00E002B1" w:rsidRDefault="002E579A">
      <w:pPr>
        <w:numPr>
          <w:ilvl w:val="1"/>
          <w:numId w:val="1"/>
        </w:numPr>
      </w:pPr>
      <w:r>
        <w:t> </w:t>
      </w:r>
    </w:p>
    <w:p w:rsidR="00E002B1" w:rsidRDefault="002E579A">
      <w:pPr>
        <w:numPr>
          <w:ilvl w:val="1"/>
          <w:numId w:val="13"/>
        </w:numPr>
      </w:pPr>
      <w:r>
        <w:t>CreateSmart Initiative</w:t>
      </w:r>
    </w:p>
    <w:p w:rsidR="00E002B1" w:rsidRDefault="002E579A" w:rsidP="002E579A">
      <w:pPr>
        <w:numPr>
          <w:ilvl w:val="1"/>
          <w:numId w:val="1"/>
        </w:numPr>
        <w:jc w:val="both"/>
      </w:pPr>
      <w:r>
        <w:t xml:space="preserve">The </w:t>
      </w:r>
      <w:bookmarkStart w:id="0" w:name="_GoBack"/>
      <w:r>
        <w:t>CreateSmart Initiative (</w:t>
      </w:r>
      <w:r>
        <w:rPr>
          <w:b/>
        </w:rPr>
        <w:t>CSI</w:t>
      </w:r>
      <w:r>
        <w:t>) provides financial support to initiatives that are conducive to the dev</w:t>
      </w:r>
      <w:r>
        <w:t>elopment and promotion of creative industries in Hong Kong. These initiatives include projects that nurture talent and facilitate start-ups, explore markets, and promote Hong Kong as Asia’s creative capital. The CSI is administered by Create Hong Kong (</w:t>
      </w:r>
      <w:r>
        <w:rPr>
          <w:b/>
        </w:rPr>
        <w:t>Cre</w:t>
      </w:r>
      <w:r>
        <w:rPr>
          <w:b/>
        </w:rPr>
        <w:t>ateHK</w:t>
      </w:r>
      <w:r>
        <w:t xml:space="preserve">), an agency set up under the Commerce and </w:t>
      </w:r>
      <w:bookmarkEnd w:id="0"/>
      <w:r>
        <w:t>Economic Bureau to lead the development of the creative economy in Hong Kong.</w:t>
      </w:r>
    </w:p>
    <w:tbl>
      <w:tblPr>
        <w:tblW w:w="4342"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3032"/>
        <w:gridCol w:w="3304"/>
        <w:gridCol w:w="2690"/>
      </w:tblGrid>
      <w:tr w:rsidR="00E002B1" w:rsidTr="002E579A">
        <w:tc>
          <w:tcPr>
            <w:tcW w:w="1375" w:type="pct"/>
            <w:vAlign w:val="center"/>
          </w:tcPr>
          <w:p w:rsidR="00E002B1" w:rsidRDefault="002E579A" w:rsidP="002E579A">
            <w:pPr>
              <w:pStyle w:val="Compact"/>
              <w:numPr>
                <w:ilvl w:val="1"/>
                <w:numId w:val="1"/>
              </w:numPr>
              <w:ind w:left="345" w:hanging="345"/>
              <w:jc w:val="left"/>
            </w:pPr>
            <w:r>
              <w:t>Eligibility</w:t>
            </w:r>
          </w:p>
        </w:tc>
        <w:tc>
          <w:tcPr>
            <w:tcW w:w="0" w:type="auto"/>
            <w:vAlign w:val="center"/>
          </w:tcPr>
          <w:p w:rsidR="00E002B1" w:rsidRDefault="002E579A" w:rsidP="002E579A">
            <w:pPr>
              <w:pStyle w:val="Compact"/>
              <w:numPr>
                <w:ilvl w:val="1"/>
                <w:numId w:val="1"/>
              </w:numPr>
              <w:ind w:left="345" w:hanging="345"/>
              <w:jc w:val="left"/>
            </w:pPr>
            <w:r>
              <w:t>Funding Scope</w:t>
            </w:r>
          </w:p>
        </w:tc>
        <w:tc>
          <w:tcPr>
            <w:tcW w:w="0" w:type="auto"/>
            <w:vAlign w:val="center"/>
          </w:tcPr>
          <w:p w:rsidR="00E002B1" w:rsidRDefault="002E579A" w:rsidP="002E579A">
            <w:pPr>
              <w:pStyle w:val="Compact"/>
              <w:numPr>
                <w:ilvl w:val="1"/>
                <w:numId w:val="1"/>
              </w:numPr>
              <w:ind w:left="345" w:hanging="345"/>
              <w:jc w:val="left"/>
            </w:pPr>
            <w:r>
              <w:t>Funding Limitations</w:t>
            </w:r>
          </w:p>
        </w:tc>
      </w:tr>
      <w:tr w:rsidR="00E002B1" w:rsidTr="002E579A">
        <w:tc>
          <w:tcPr>
            <w:tcW w:w="1375" w:type="pct"/>
          </w:tcPr>
          <w:p w:rsidR="00E002B1" w:rsidRDefault="002E579A" w:rsidP="002E579A">
            <w:pPr>
              <w:numPr>
                <w:ilvl w:val="2"/>
                <w:numId w:val="4"/>
              </w:numPr>
              <w:ind w:left="345" w:hanging="270"/>
            </w:pPr>
            <w:r>
              <w:t>The applicant should be a body or a company incorporated in Hong Kong.</w:t>
            </w:r>
          </w:p>
          <w:p w:rsidR="00E002B1" w:rsidRDefault="002E579A" w:rsidP="002E579A">
            <w:pPr>
              <w:numPr>
                <w:ilvl w:val="2"/>
                <w:numId w:val="4"/>
              </w:numPr>
              <w:ind w:left="345" w:hanging="270"/>
            </w:pPr>
            <w:r>
              <w:t>Applicants should normally be locally registered institutions/organisations, including local academic institutes, industry support Organisations, trade and industry associations, professional bodies, research institutes and companies.</w:t>
            </w:r>
          </w:p>
          <w:p w:rsidR="00E002B1" w:rsidRDefault="002E579A" w:rsidP="002E579A">
            <w:pPr>
              <w:numPr>
                <w:ilvl w:val="2"/>
                <w:numId w:val="4"/>
              </w:numPr>
              <w:ind w:left="345" w:hanging="270"/>
            </w:pPr>
            <w:r>
              <w:t>CreateHK and other Go</w:t>
            </w:r>
            <w:r>
              <w:t>vernment departments are also eligible to apply.</w:t>
            </w:r>
          </w:p>
        </w:tc>
        <w:tc>
          <w:tcPr>
            <w:tcW w:w="0" w:type="auto"/>
          </w:tcPr>
          <w:p w:rsidR="00E002B1" w:rsidRDefault="002E579A" w:rsidP="002E579A">
            <w:pPr>
              <w:numPr>
                <w:ilvl w:val="2"/>
                <w:numId w:val="4"/>
              </w:numPr>
              <w:ind w:left="345" w:hanging="270"/>
            </w:pPr>
            <w:r>
              <w:t>The CSI will fund projects that:</w:t>
            </w:r>
          </w:p>
          <w:p w:rsidR="00E002B1" w:rsidRDefault="002E579A" w:rsidP="002E579A">
            <w:pPr>
              <w:numPr>
                <w:ilvl w:val="2"/>
                <w:numId w:val="4"/>
              </w:numPr>
              <w:ind w:left="345" w:hanging="270"/>
            </w:pPr>
            <w:r>
              <w:t>nurture talents and facilitating start-ups;</w:t>
            </w:r>
          </w:p>
          <w:p w:rsidR="00E002B1" w:rsidRDefault="002E579A" w:rsidP="002E579A">
            <w:pPr>
              <w:numPr>
                <w:ilvl w:val="2"/>
                <w:numId w:val="4"/>
              </w:numPr>
              <w:ind w:left="345" w:hanging="270"/>
            </w:pPr>
            <w:r>
              <w:t>explore markets; and</w:t>
            </w:r>
          </w:p>
          <w:p w:rsidR="00E002B1" w:rsidRDefault="002E579A" w:rsidP="002E579A">
            <w:pPr>
              <w:numPr>
                <w:ilvl w:val="2"/>
                <w:numId w:val="4"/>
              </w:numPr>
              <w:ind w:left="345" w:hanging="270"/>
            </w:pPr>
            <w:r>
              <w:t>promote Hong Kong as Asia’s creative capital and fostering a creative atmosphere in the community.</w:t>
            </w:r>
          </w:p>
        </w:tc>
        <w:tc>
          <w:tcPr>
            <w:tcW w:w="0" w:type="auto"/>
          </w:tcPr>
          <w:p w:rsidR="00E002B1" w:rsidRDefault="002E579A" w:rsidP="002E579A">
            <w:pPr>
              <w:numPr>
                <w:ilvl w:val="2"/>
                <w:numId w:val="4"/>
              </w:numPr>
              <w:ind w:left="345" w:hanging="270"/>
            </w:pPr>
            <w:r>
              <w:t>The CSI do</w:t>
            </w:r>
            <w:r>
              <w:t>es not cover projects that:</w:t>
            </w:r>
          </w:p>
          <w:p w:rsidR="00E002B1" w:rsidRDefault="002E579A" w:rsidP="002E579A">
            <w:pPr>
              <w:numPr>
                <w:ilvl w:val="2"/>
                <w:numId w:val="4"/>
              </w:numPr>
              <w:ind w:left="345" w:hanging="270"/>
            </w:pPr>
            <w:r>
              <w:t>fall under the scope of other Government funding schemes; and/or</w:t>
            </w:r>
          </w:p>
          <w:p w:rsidR="00E002B1" w:rsidRDefault="002E579A" w:rsidP="002E579A">
            <w:pPr>
              <w:numPr>
                <w:ilvl w:val="2"/>
                <w:numId w:val="4"/>
              </w:numPr>
              <w:ind w:left="345" w:hanging="270"/>
            </w:pPr>
            <w:r>
              <w:t>will receive funding from other Government sources.</w:t>
            </w:r>
          </w:p>
        </w:tc>
      </w:tr>
    </w:tbl>
    <w:p w:rsidR="00E002B1" w:rsidRDefault="002E579A">
      <w:pPr>
        <w:numPr>
          <w:ilvl w:val="1"/>
          <w:numId w:val="1"/>
        </w:numPr>
      </w:pPr>
      <w:r>
        <w:t xml:space="preserve">Click </w:t>
      </w:r>
      <w:hyperlink r:id="rId17">
        <w:r>
          <w:t>here</w:t>
        </w:r>
      </w:hyperlink>
      <w:r>
        <w:t xml:space="preserve"> to apply now.</w:t>
      </w:r>
    </w:p>
    <w:p w:rsidR="00E002B1" w:rsidRDefault="002E579A">
      <w:pPr>
        <w:numPr>
          <w:ilvl w:val="1"/>
          <w:numId w:val="1"/>
        </w:numPr>
      </w:pPr>
      <w:r>
        <w:t> </w:t>
      </w:r>
    </w:p>
    <w:p w:rsidR="00E002B1" w:rsidRDefault="002E579A">
      <w:pPr>
        <w:numPr>
          <w:ilvl w:val="0"/>
          <w:numId w:val="1"/>
        </w:numPr>
      </w:pPr>
      <w:r>
        <w:t> </w:t>
      </w:r>
    </w:p>
    <w:p w:rsidR="00E002B1" w:rsidRDefault="002E579A">
      <w:pPr>
        <w:pStyle w:val="DisclaimerBold"/>
      </w:pPr>
      <w:r>
        <w:t xml:space="preserve">This newsletter is for </w:t>
      </w:r>
      <w:r>
        <w:t>information purposes only.</w:t>
      </w:r>
    </w:p>
    <w:p w:rsidR="00E002B1" w:rsidRDefault="002E579A">
      <w:pPr>
        <w:pStyle w:val="Disclaimer"/>
      </w:pPr>
      <w:r>
        <w:t>Its contents do not constitute legal advice and it should  not be regarded as a substitute for detailed advice  in individual cases.</w:t>
      </w:r>
    </w:p>
    <w:p w:rsidR="00E002B1" w:rsidRDefault="002E579A">
      <w:pPr>
        <w:pStyle w:val="Disclaimer"/>
      </w:pPr>
      <w:r>
        <w:t>Transmission of this information is not intended to create and receipt does not constitute a law</w:t>
      </w:r>
      <w:r>
        <w:t>yer-client relationship between Charltons and the user or browser.</w:t>
      </w:r>
    </w:p>
    <w:p w:rsidR="00E002B1" w:rsidRDefault="002E579A">
      <w:pPr>
        <w:pStyle w:val="Disclaimer"/>
      </w:pPr>
      <w:r>
        <w:lastRenderedPageBreak/>
        <w:t>Charltons is not responsible for any third party content which can be accessed through the website.</w:t>
      </w:r>
    </w:p>
    <w:p w:rsidR="00E002B1" w:rsidRDefault="002E579A">
      <w:pPr>
        <w:pStyle w:val="Disclaimer"/>
      </w:pPr>
      <w:r>
        <w:t xml:space="preserve">If you do not wish to receive this newsletter please let us know by emailing us at  </w:t>
      </w:r>
      <w:hyperlink r:id="rId18">
        <w:r>
          <w:t>unsubscribe@charltonslaw.com</w:t>
        </w:r>
      </w:hyperlink>
    </w:p>
    <w:p w:rsidR="00E002B1" w:rsidRDefault="002E579A">
      <w:pPr>
        <w:pStyle w:val="BlackStrips"/>
      </w:pPr>
      <w:r>
        <w:t>Charltons - Hong Kong Law - 17 April 2020</w:t>
      </w:r>
    </w:p>
    <w:sectPr w:rsidR="00E002B1">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E579A">
      <w:pPr>
        <w:spacing w:after="0"/>
      </w:pPr>
      <w:r>
        <w:separator/>
      </w:r>
    </w:p>
  </w:endnote>
  <w:endnote w:type="continuationSeparator" w:id="0">
    <w:p w:rsidR="00000000" w:rsidRDefault="002E57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2B1" w:rsidRDefault="002E579A">
      <w:r>
        <w:separator/>
      </w:r>
    </w:p>
  </w:footnote>
  <w:footnote w:type="continuationSeparator" w:id="0">
    <w:p w:rsidR="00E002B1" w:rsidRDefault="002E5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B5EA80"/>
    <w:multiLevelType w:val="multilevel"/>
    <w:tmpl w:val="73ECA38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D13C604"/>
    <w:multiLevelType w:val="multilevel"/>
    <w:tmpl w:val="BFF232AE"/>
    <w:lvl w:ilvl="0">
      <w:start w:val="1"/>
      <w:numFmt w:val="lowerRoman"/>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2" w15:restartNumberingAfterBreak="0">
    <w:nsid w:val="5206B13E"/>
    <w:multiLevelType w:val="multilevel"/>
    <w:tmpl w:val="8B8E4B9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jIwMDYzNjCxNLQwNzBR0lEKTi0uzszPAykwrAUAx5oNjCwAAAA="/>
  </w:docVars>
  <w:rsids>
    <w:rsidRoot w:val="00590D07"/>
    <w:rsid w:val="00011C8B"/>
    <w:rsid w:val="002E579A"/>
    <w:rsid w:val="004E29B3"/>
    <w:rsid w:val="00547592"/>
    <w:rsid w:val="00590D07"/>
    <w:rsid w:val="00784D58"/>
    <w:rsid w:val="008D6863"/>
    <w:rsid w:val="00B86B75"/>
    <w:rsid w:val="00BC48D5"/>
    <w:rsid w:val="00C36279"/>
    <w:rsid w:val="00E002B1"/>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340EE-C883-4657-9F53-09C8F6AC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gislation.gov.hk/hk/cap310" TargetMode="External"/><Relationship Id="rId13" Type="http://schemas.openxmlformats.org/officeDocument/2006/relationships/hyperlink" Target="https://www.smefund.tid.gov.hk/english/sgs/sgs_form.html" TargetMode="External"/><Relationship Id="rId18"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s://www.charltonslaw.com/hong-kong-government-support-for-local-enterprises-smes" TargetMode="External"/><Relationship Id="rId12" Type="http://schemas.openxmlformats.org/officeDocument/2006/relationships/hyperlink" Target="https://www.elegislation.gov.hk/hk/cap310" TargetMode="External"/><Relationship Id="rId17" Type="http://schemas.openxmlformats.org/officeDocument/2006/relationships/hyperlink" Target="https://www.createsmart.gov.hk/cfais/" TargetMode="External"/><Relationship Id="rId2" Type="http://schemas.openxmlformats.org/officeDocument/2006/relationships/styles" Target="styles.xml"/><Relationship Id="rId16" Type="http://schemas.openxmlformats.org/officeDocument/2006/relationships/hyperlink" Target="https://fbl.itb.gov.hk/?lang=E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mefund.tid.gov.hk/english/emf/emf_procedures.html" TargetMode="External"/><Relationship Id="rId5" Type="http://schemas.openxmlformats.org/officeDocument/2006/relationships/footnotes" Target="footnotes.xml"/><Relationship Id="rId15" Type="http://schemas.openxmlformats.org/officeDocument/2006/relationships/hyperlink" Target="https://www.smefund.tid.gov.hk/english/tsf/tsf_procedures.html" TargetMode="External"/><Relationship Id="rId10" Type="http://schemas.openxmlformats.org/officeDocument/2006/relationships/hyperlink" Target="https://www.smefund.tid.gov.hk/english/emf/emf_local_trade_fair.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mefund.tid.gov.hk/english/sgs/sgs_form.html" TargetMode="External"/><Relationship Id="rId14" Type="http://schemas.openxmlformats.org/officeDocument/2006/relationships/hyperlink" Target="https://www.smefund.tid.gov.hk/english/sgs/sgs_sche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2020-04-22T04:32:00Z</dcterms:created>
  <dcterms:modified xsi:type="dcterms:W3CDTF">2020-04-22T04:46:00Z</dcterms:modified>
</cp:coreProperties>
</file>