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BB" w:rsidRDefault="00FA1A9C">
      <w:pPr>
        <w:pStyle w:val="BlackStrips"/>
      </w:pPr>
      <w:r>
        <w:t>Charltons - Hong Kong Law - 27 July 2018</w:t>
      </w:r>
    </w:p>
    <w:p w:rsidR="009B29BB" w:rsidRDefault="00FA1A9C">
      <w:pPr>
        <w:pStyle w:val="ReadOnline"/>
      </w:pPr>
      <w:hyperlink r:id="rId8">
        <w:r>
          <w:t>online version</w:t>
        </w:r>
      </w:hyperlink>
    </w:p>
    <w:p w:rsidR="009B29BB" w:rsidRDefault="00FA1A9C">
      <w:pPr>
        <w:pStyle w:val="Title"/>
      </w:pPr>
      <w:r>
        <w:t xml:space="preserve">CCB International Capital Limited fined $24 million for sponsor </w:t>
      </w:r>
      <w:r w:rsidRPr="004B0F9D">
        <w:rPr>
          <w:noProof/>
        </w:rPr>
        <w:t>due</w:t>
      </w:r>
      <w:r>
        <w:t xml:space="preserve"> diligence failures </w:t>
      </w:r>
    </w:p>
    <w:p w:rsidR="009B29BB" w:rsidRDefault="00FA1A9C">
      <w:pPr>
        <w:pStyle w:val="FirstParagraph"/>
      </w:pPr>
      <w:r>
        <w:rPr>
          <w:b/>
        </w:rPr>
        <w:t>Introduction </w:t>
      </w:r>
    </w:p>
    <w:p w:rsidR="009B29BB" w:rsidRDefault="00FA1A9C">
      <w:pPr>
        <w:pStyle w:val="BodyText"/>
      </w:pPr>
      <w:hyperlink r:id="rId9">
        <w:r>
          <w:t>CCB International Capital Limited (</w:t>
        </w:r>
        <w:r w:rsidRPr="004B0F9D">
          <w:rPr>
            <w:b/>
            <w:noProof/>
          </w:rPr>
          <w:t>CCBIC</w:t>
        </w:r>
        <w:r>
          <w:t>) h</w:t>
        </w:r>
        <w:r>
          <w:t xml:space="preserve">as </w:t>
        </w:r>
        <w:r w:rsidRPr="004B0F9D">
          <w:rPr>
            <w:noProof/>
          </w:rPr>
          <w:t>been reprimanded</w:t>
        </w:r>
        <w:r>
          <w:t xml:space="preserve"> and fined $24 million by the Securities and Futures Commission (the </w:t>
        </w:r>
        <w:r>
          <w:rPr>
            <w:b/>
          </w:rPr>
          <w:t>SFC</w:t>
        </w:r>
        <w:r>
          <w:t>)</w:t>
        </w:r>
      </w:hyperlink>
      <w:r>
        <w:t xml:space="preserve"> for its failure to discharge its duties as a sole sponsor in the listing application of Fujian Dongya Aquatic Products Co., Ltd (</w:t>
      </w:r>
      <w:r>
        <w:rPr>
          <w:b/>
        </w:rPr>
        <w:t>Fujian Dongya</w:t>
      </w:r>
      <w:r>
        <w:t xml:space="preserve">).  In particular, </w:t>
      </w:r>
      <w:r w:rsidRPr="004B0F9D">
        <w:rPr>
          <w:noProof/>
        </w:rPr>
        <w:t>CC</w:t>
      </w:r>
      <w:r w:rsidRPr="004B0F9D">
        <w:rPr>
          <w:noProof/>
        </w:rPr>
        <w:t>BIC</w:t>
      </w:r>
      <w:r>
        <w:t xml:space="preserve"> breached paragraph 17 of the Code of Conduct for Persons Licensed by or Registered with the SFC (</w:t>
      </w:r>
      <w:r>
        <w:rPr>
          <w:b/>
        </w:rPr>
        <w:t>Code of Conduct</w:t>
      </w:r>
      <w:r>
        <w:t>) for its failure to:</w:t>
      </w:r>
    </w:p>
    <w:p w:rsidR="009B29BB" w:rsidRDefault="00FA1A9C" w:rsidP="004B0F9D">
      <w:pPr>
        <w:numPr>
          <w:ilvl w:val="0"/>
          <w:numId w:val="15"/>
        </w:numPr>
      </w:pPr>
      <w:r>
        <w:t xml:space="preserve">perform all reasonable due diligence on Fujian Dongya </w:t>
      </w:r>
      <w:r w:rsidRPr="004B0F9D">
        <w:rPr>
          <w:noProof/>
        </w:rPr>
        <w:t>prior to</w:t>
      </w:r>
      <w:r>
        <w:t xml:space="preserve"> submitting a listing application on its behalf;</w:t>
      </w:r>
    </w:p>
    <w:p w:rsidR="009B29BB" w:rsidRDefault="00FA1A9C" w:rsidP="004B0F9D">
      <w:pPr>
        <w:numPr>
          <w:ilvl w:val="0"/>
          <w:numId w:val="15"/>
        </w:numPr>
      </w:pPr>
      <w:r>
        <w:t>carry o</w:t>
      </w:r>
      <w:r>
        <w:t>ut proper due diligence interviews with Fujian Dongya’s customers; and</w:t>
      </w:r>
    </w:p>
    <w:p w:rsidR="009B29BB" w:rsidRDefault="00FA1A9C" w:rsidP="004B0F9D">
      <w:pPr>
        <w:numPr>
          <w:ilvl w:val="0"/>
          <w:numId w:val="15"/>
        </w:numPr>
      </w:pPr>
      <w:proofErr w:type="gramStart"/>
      <w:r>
        <w:t>keep</w:t>
      </w:r>
      <w:proofErr w:type="gramEnd"/>
      <w:r>
        <w:t xml:space="preserve"> </w:t>
      </w:r>
      <w:r w:rsidRPr="004B0F9D">
        <w:rPr>
          <w:noProof/>
        </w:rPr>
        <w:t>a proper audit trail</w:t>
      </w:r>
      <w:r>
        <w:t>/written record of the work conducted regarding the due diligence for the listing application of Fujian Dongya.</w:t>
      </w:r>
    </w:p>
    <w:p w:rsidR="009B29BB" w:rsidRDefault="00FA1A9C">
      <w:pPr>
        <w:pStyle w:val="FirstParagraph"/>
      </w:pPr>
      <w:r w:rsidRPr="004B0F9D">
        <w:rPr>
          <w:noProof/>
        </w:rPr>
        <w:t>This</w:t>
      </w:r>
      <w:r>
        <w:t xml:space="preserve"> follows the </w:t>
      </w:r>
      <w:hyperlink r:id="rId10">
        <w:r>
          <w:t>SFC’s HK$57 million fine of Citigroup Global Markets Asia Limited</w:t>
        </w:r>
      </w:hyperlink>
      <w:r>
        <w:t xml:space="preserve"> on 16 May 2018 for failings </w:t>
      </w:r>
      <w:r w:rsidRPr="004B0F9D">
        <w:rPr>
          <w:noProof/>
        </w:rPr>
        <w:t>in relation to</w:t>
      </w:r>
      <w:r>
        <w:t xml:space="preserve"> its performance of its duties as </w:t>
      </w:r>
      <w:r w:rsidRPr="004B0F9D">
        <w:rPr>
          <w:noProof/>
        </w:rPr>
        <w:t>sponso</w:t>
      </w:r>
      <w:r w:rsidRPr="004B0F9D">
        <w:rPr>
          <w:noProof/>
        </w:rPr>
        <w:t>r</w:t>
      </w:r>
      <w:r>
        <w:t xml:space="preserve"> in the listing application of Real Gold Mining Limited.  For more information, please see </w:t>
      </w:r>
      <w:hyperlink r:id="rId11">
        <w:r>
          <w:t>Charltons’ May 2018 newsletter</w:t>
        </w:r>
      </w:hyperlink>
      <w:r>
        <w:t>.</w:t>
      </w:r>
    </w:p>
    <w:p w:rsidR="009B29BB" w:rsidRDefault="00FA1A9C">
      <w:pPr>
        <w:pStyle w:val="BodyText"/>
      </w:pPr>
      <w:r>
        <w:rPr>
          <w:b/>
        </w:rPr>
        <w:t>Summary of facts</w:t>
      </w:r>
    </w:p>
    <w:p w:rsidR="009B29BB" w:rsidRDefault="00FA1A9C">
      <w:pPr>
        <w:pStyle w:val="BodyText"/>
      </w:pPr>
      <w:r>
        <w:t>Fujian</w:t>
      </w:r>
      <w:r>
        <w:t xml:space="preserve"> Dongya (together with its subsidiaries) acquires raw seafood from suppliers which </w:t>
      </w:r>
      <w:r w:rsidRPr="004B0F9D">
        <w:rPr>
          <w:noProof/>
        </w:rPr>
        <w:t>is then processed</w:t>
      </w:r>
      <w:r>
        <w:t xml:space="preserve"> at its </w:t>
      </w:r>
      <w:r w:rsidRPr="004B0F9D">
        <w:rPr>
          <w:noProof/>
        </w:rPr>
        <w:t>own</w:t>
      </w:r>
      <w:r>
        <w:t xml:space="preserve"> facilities in the PRC.  Fujian Dongya sells the </w:t>
      </w:r>
      <w:r w:rsidRPr="004B0F9D">
        <w:rPr>
          <w:noProof/>
        </w:rPr>
        <w:t>processed</w:t>
      </w:r>
      <w:r>
        <w:t xml:space="preserve"> seafood to overseas and PRC customers.</w:t>
      </w:r>
    </w:p>
    <w:p w:rsidR="009B29BB" w:rsidRDefault="00FA1A9C">
      <w:pPr>
        <w:pStyle w:val="BodyText"/>
      </w:pPr>
      <w:r>
        <w:t>Sales to overseas customers constituted approxi</w:t>
      </w:r>
      <w:r>
        <w:t xml:space="preserve">mately 90% of Fujian Dongya’s turnover during the track record period, and </w:t>
      </w:r>
      <w:r w:rsidRPr="004B0F9D">
        <w:rPr>
          <w:noProof/>
        </w:rPr>
        <w:t>approximately</w:t>
      </w:r>
      <w:r>
        <w:t xml:space="preserve"> 90% of such sales </w:t>
      </w:r>
      <w:r w:rsidRPr="004B0F9D">
        <w:rPr>
          <w:noProof/>
        </w:rPr>
        <w:t>were paid</w:t>
      </w:r>
      <w:r>
        <w:t xml:space="preserve"> via </w:t>
      </w:r>
      <w:r w:rsidRPr="004B0F9D">
        <w:rPr>
          <w:noProof/>
        </w:rPr>
        <w:t>third party</w:t>
      </w:r>
      <w:r>
        <w:t xml:space="preserve"> payers (</w:t>
      </w:r>
      <w:r>
        <w:rPr>
          <w:b/>
        </w:rPr>
        <w:t>TPP Arrangement</w:t>
      </w:r>
      <w:r>
        <w:t>).</w:t>
      </w:r>
    </w:p>
    <w:p w:rsidR="009B29BB" w:rsidRDefault="00FA1A9C">
      <w:pPr>
        <w:pStyle w:val="BodyText"/>
      </w:pPr>
      <w:r w:rsidRPr="004B0F9D">
        <w:rPr>
          <w:noProof/>
        </w:rPr>
        <w:t>CCBIC</w:t>
      </w:r>
      <w:r>
        <w:t xml:space="preserve"> submitted the listing application of Fujian Dongya to the Stock Exchange of Hong Kong Limit</w:t>
      </w:r>
      <w:r>
        <w:t xml:space="preserve">ed (the </w:t>
      </w:r>
      <w:r>
        <w:rPr>
          <w:b/>
        </w:rPr>
        <w:t>Stock Exchange</w:t>
      </w:r>
      <w:r>
        <w:t xml:space="preserve">) on 21 March 2014.  Two weeks later on 4 April 2014, the Stock Exchange and the SFC made </w:t>
      </w:r>
      <w:r w:rsidRPr="004B0F9D">
        <w:rPr>
          <w:noProof/>
        </w:rPr>
        <w:t>a number of</w:t>
      </w:r>
      <w:r>
        <w:t xml:space="preserve"> queries on the TPP Arrangement, and in particular:</w:t>
      </w:r>
    </w:p>
    <w:p w:rsidR="009B29BB" w:rsidRDefault="00FA1A9C">
      <w:pPr>
        <w:pStyle w:val="FirstParagraph"/>
      </w:pPr>
      <w:r>
        <w:t>Following CCBIC’s submission of a response to the comments and a revised prospect</w:t>
      </w:r>
      <w:r>
        <w:t>us, the Stock Exchange and the SFC made additional queries relating to the TPP Arrangement on 19 and 25 August 2014:</w:t>
      </w:r>
    </w:p>
    <w:p w:rsidR="009B29BB" w:rsidRDefault="00FA1A9C">
      <w:pPr>
        <w:pStyle w:val="FirstParagraph"/>
      </w:pPr>
      <w:r w:rsidRPr="004B0F9D">
        <w:rPr>
          <w:noProof/>
        </w:rPr>
        <w:t>CCBIC</w:t>
      </w:r>
      <w:r>
        <w:t xml:space="preserve"> did not respond to these comments, and the listing application lapsed on 22 September 2014.</w:t>
      </w:r>
    </w:p>
    <w:p w:rsidR="009B29BB" w:rsidRDefault="00FA1A9C">
      <w:pPr>
        <w:pStyle w:val="BodyText"/>
      </w:pPr>
      <w:r>
        <w:rPr>
          <w:b/>
        </w:rPr>
        <w:t>Breaches and reasons for action</w:t>
      </w:r>
    </w:p>
    <w:p w:rsidR="009B29BB" w:rsidRDefault="00FA1A9C">
      <w:pPr>
        <w:pStyle w:val="BodyText"/>
      </w:pPr>
      <w:r>
        <w:rPr>
          <w:b/>
          <w:i/>
        </w:rPr>
        <w:t>Failure t</w:t>
      </w:r>
      <w:r>
        <w:rPr>
          <w:b/>
          <w:i/>
        </w:rPr>
        <w:t>o conduct all reasonable due diligence</w:t>
      </w:r>
    </w:p>
    <w:p w:rsidR="009B29BB" w:rsidRDefault="00FA1A9C">
      <w:pPr>
        <w:pStyle w:val="BodyText"/>
      </w:pPr>
      <w:r>
        <w:t>Sponsors are subject to the following requirements under the Code of Conduct:</w:t>
      </w:r>
    </w:p>
    <w:p w:rsidR="009B29BB" w:rsidRDefault="00FA1A9C" w:rsidP="004B0F9D">
      <w:pPr>
        <w:numPr>
          <w:ilvl w:val="0"/>
          <w:numId w:val="16"/>
        </w:numPr>
      </w:pPr>
      <w:r>
        <w:t>prior to submitting an application on behalf of a listing applicant, a sponsor should have conducted all reasonable due diligence on the li</w:t>
      </w:r>
      <w:r>
        <w:t xml:space="preserve">sting applicant, except in relation to matters </w:t>
      </w:r>
      <w:r>
        <w:lastRenderedPageBreak/>
        <w:t xml:space="preserve">that by their nature can only </w:t>
      </w:r>
      <w:r w:rsidRPr="004B0F9D">
        <w:rPr>
          <w:noProof/>
        </w:rPr>
        <w:t>be dealt</w:t>
      </w:r>
      <w:r>
        <w:t xml:space="preserve"> with at a later date (paragraph 17.4(a)(i) of the Code of Conduct); and</w:t>
      </w:r>
    </w:p>
    <w:p w:rsidR="009B29BB" w:rsidRDefault="00FA1A9C" w:rsidP="004B0F9D">
      <w:pPr>
        <w:numPr>
          <w:ilvl w:val="0"/>
          <w:numId w:val="16"/>
        </w:numPr>
      </w:pPr>
      <w:r>
        <w:t>where the sponsor becomes aware of circumstances that may cast doubt on information provided to it</w:t>
      </w:r>
      <w:r>
        <w:t xml:space="preserve"> or otherwise indicate a potential problem or risk, it should undertake additional due diligence to ascertain the truth and completeness of the matter and information concerned (paragraph 17.6(c) of the Code of Conduct).</w:t>
      </w:r>
    </w:p>
    <w:p w:rsidR="009B29BB" w:rsidRDefault="00FA1A9C">
      <w:pPr>
        <w:pStyle w:val="FirstParagraph"/>
      </w:pPr>
      <w:r w:rsidRPr="004B0F9D">
        <w:rPr>
          <w:noProof/>
        </w:rPr>
        <w:t>CCBIC</w:t>
      </w:r>
      <w:r>
        <w:t xml:space="preserve"> was aware that the TPP Arrang</w:t>
      </w:r>
      <w:r>
        <w:t xml:space="preserve">ement was a material issue in the listing application as early as September 2013.  </w:t>
      </w:r>
      <w:r w:rsidRPr="004B0F9D">
        <w:rPr>
          <w:noProof/>
        </w:rPr>
        <w:t>CCBIC</w:t>
      </w:r>
      <w:r>
        <w:t xml:space="preserve"> instructed its lawyers to create a due diligence plan </w:t>
      </w:r>
      <w:r w:rsidRPr="004B0F9D">
        <w:rPr>
          <w:noProof/>
        </w:rPr>
        <w:t>in relation to</w:t>
      </w:r>
      <w:r>
        <w:t xml:space="preserve"> the TPP Arrangement, and, in December 2013, </w:t>
      </w:r>
      <w:r w:rsidRPr="004B0F9D">
        <w:rPr>
          <w:noProof/>
        </w:rPr>
        <w:t>a plan</w:t>
      </w:r>
      <w:r>
        <w:t xml:space="preserve"> consisting of 11 </w:t>
      </w:r>
      <w:r w:rsidRPr="004B0F9D">
        <w:rPr>
          <w:noProof/>
        </w:rPr>
        <w:t>due</w:t>
      </w:r>
      <w:r>
        <w:t xml:space="preserve"> diligence steps was create</w:t>
      </w:r>
      <w:r>
        <w:t>d (</w:t>
      </w:r>
      <w:r>
        <w:rPr>
          <w:b/>
        </w:rPr>
        <w:t>DD Plan</w:t>
      </w:r>
      <w:r>
        <w:t xml:space="preserve">).  </w:t>
      </w:r>
      <w:r w:rsidRPr="004B0F9D">
        <w:rPr>
          <w:noProof/>
        </w:rPr>
        <w:t>Pursuant to this plan, CCBIC was required, prior to submitting the listing application, to inter alia, (i) arrange for the overseas customers and their third party payers to sign a letter of confirmation, (ii) arrange for the overseas custome</w:t>
      </w:r>
      <w:r w:rsidRPr="004B0F9D">
        <w:rPr>
          <w:noProof/>
        </w:rPr>
        <w:t>rs which were unable to terminate the TPP Arrangement to sign an indemnity agreement (</w:t>
      </w:r>
      <w:r w:rsidRPr="004B0F9D">
        <w:rPr>
          <w:b/>
          <w:noProof/>
        </w:rPr>
        <w:t>Indemnity Agreement</w:t>
      </w:r>
      <w:r w:rsidRPr="004B0F9D">
        <w:rPr>
          <w:noProof/>
        </w:rPr>
        <w:t>), and (iii) interview the third party payers.</w:t>
      </w:r>
    </w:p>
    <w:p w:rsidR="009B29BB" w:rsidRDefault="00FA1A9C">
      <w:pPr>
        <w:pStyle w:val="BodyText"/>
      </w:pPr>
      <w:r w:rsidRPr="004B0F9D">
        <w:rPr>
          <w:noProof/>
        </w:rPr>
        <w:t>CCBIC</w:t>
      </w:r>
      <w:r>
        <w:t xml:space="preserve"> did not complete the 11 steps of the DD Plan, including (i) arranging for the parties to sign lett</w:t>
      </w:r>
      <w:r>
        <w:t xml:space="preserve">ers of confirmation, (ii) obtaining a list of customers which could not terminate the TPP Arrangement and select customers to interview, and (iii) </w:t>
      </w:r>
      <w:r w:rsidRPr="004B0F9D">
        <w:rPr>
          <w:noProof/>
        </w:rPr>
        <w:t>interviewing</w:t>
      </w:r>
      <w:r>
        <w:t xml:space="preserve"> the third party players.  It stated to the SFC that it had changed its due diligence plan, altho</w:t>
      </w:r>
      <w:r>
        <w:t xml:space="preserve">ugh no record was kept of the alleged changes as required by paragraph 17.10(c)(ii)(B) of the Code of Conduct.  Indeed, evidence suggests that </w:t>
      </w:r>
      <w:r w:rsidRPr="004B0F9D">
        <w:rPr>
          <w:noProof/>
        </w:rPr>
        <w:t>CCBIC</w:t>
      </w:r>
      <w:r>
        <w:t xml:space="preserve"> and the other professional parties had intended to follow the DD Plan.</w:t>
      </w:r>
    </w:p>
    <w:p w:rsidR="009B29BB" w:rsidRDefault="00FA1A9C">
      <w:pPr>
        <w:pStyle w:val="BodyText"/>
      </w:pPr>
      <w:r>
        <w:t xml:space="preserve">Further, </w:t>
      </w:r>
      <w:r w:rsidRPr="004B0F9D">
        <w:rPr>
          <w:noProof/>
        </w:rPr>
        <w:t>whilst</w:t>
      </w:r>
      <w:r>
        <w:t xml:space="preserve"> conducting due dilig</w:t>
      </w:r>
      <w:r>
        <w:t xml:space="preserve">ence, </w:t>
      </w:r>
      <w:r w:rsidRPr="004B0F9D">
        <w:rPr>
          <w:noProof/>
        </w:rPr>
        <w:t>CCBIC</w:t>
      </w:r>
      <w:r>
        <w:t xml:space="preserve"> discovered several red flags relating to the TPP arrangement:</w:t>
      </w:r>
    </w:p>
    <w:p w:rsidR="009B29BB" w:rsidRDefault="00FA1A9C" w:rsidP="004B0F9D">
      <w:pPr>
        <w:numPr>
          <w:ilvl w:val="0"/>
          <w:numId w:val="17"/>
        </w:numPr>
      </w:pPr>
      <w:r w:rsidRPr="004B0F9D">
        <w:rPr>
          <w:noProof/>
        </w:rPr>
        <w:t>a number of</w:t>
      </w:r>
      <w:r>
        <w:t xml:space="preserve"> customers used multiple </w:t>
      </w:r>
      <w:r w:rsidRPr="004B0F9D">
        <w:rPr>
          <w:noProof/>
        </w:rPr>
        <w:t>third party</w:t>
      </w:r>
      <w:r>
        <w:t xml:space="preserve"> payers from different countries to pay Fujian Dongya;</w:t>
      </w:r>
    </w:p>
    <w:p w:rsidR="009B29BB" w:rsidRDefault="00FA1A9C" w:rsidP="004B0F9D">
      <w:pPr>
        <w:numPr>
          <w:ilvl w:val="0"/>
          <w:numId w:val="17"/>
        </w:numPr>
      </w:pPr>
      <w:r>
        <w:t xml:space="preserve">some customers acted as </w:t>
      </w:r>
      <w:r w:rsidRPr="004B0F9D">
        <w:rPr>
          <w:noProof/>
        </w:rPr>
        <w:t>third party</w:t>
      </w:r>
      <w:r>
        <w:t xml:space="preserve"> payers for other customers </w:t>
      </w:r>
      <w:r w:rsidRPr="004B0F9D">
        <w:rPr>
          <w:noProof/>
        </w:rPr>
        <w:t>whilst</w:t>
      </w:r>
      <w:r>
        <w:t xml:space="preserve"> relying on</w:t>
      </w:r>
      <w:r>
        <w:t xml:space="preserve"> </w:t>
      </w:r>
      <w:r w:rsidRPr="004B0F9D">
        <w:rPr>
          <w:noProof/>
        </w:rPr>
        <w:t>third party</w:t>
      </w:r>
      <w:r>
        <w:t xml:space="preserve"> payers to make payment to Fujian Dongya; and</w:t>
      </w:r>
    </w:p>
    <w:p w:rsidR="009B29BB" w:rsidRDefault="00FA1A9C" w:rsidP="004B0F9D">
      <w:pPr>
        <w:numPr>
          <w:ilvl w:val="0"/>
          <w:numId w:val="17"/>
        </w:numPr>
      </w:pPr>
      <w:r w:rsidRPr="004B0F9D">
        <w:rPr>
          <w:noProof/>
        </w:rPr>
        <w:t>CCBIC was informed by Fujian Dongya</w:t>
      </w:r>
      <w:r>
        <w:t xml:space="preserve"> that it was impossible or very costly for customers in Taiwan to pay Fujian Dongya directly, but the SFC’s investigation shows that </w:t>
      </w:r>
      <w:r w:rsidRPr="004B0F9D">
        <w:rPr>
          <w:noProof/>
        </w:rPr>
        <w:t>there were various third party</w:t>
      </w:r>
      <w:r w:rsidRPr="004B0F9D">
        <w:rPr>
          <w:noProof/>
        </w:rPr>
        <w:t xml:space="preserve"> payers in Taiwan who made</w:t>
      </w:r>
      <w:r>
        <w:t xml:space="preserve"> payments to Fujian Dongya on behalf of its customers.</w:t>
      </w:r>
    </w:p>
    <w:p w:rsidR="009B29BB" w:rsidRDefault="00FA1A9C">
      <w:pPr>
        <w:pStyle w:val="FirstParagraph"/>
      </w:pPr>
      <w:r>
        <w:t xml:space="preserve">There is no evidence that further enquiries </w:t>
      </w:r>
      <w:r w:rsidRPr="004B0F9D">
        <w:rPr>
          <w:noProof/>
        </w:rPr>
        <w:t>were made</w:t>
      </w:r>
      <w:r>
        <w:t xml:space="preserve"> with the customers or third party players </w:t>
      </w:r>
      <w:r w:rsidRPr="004B0F9D">
        <w:rPr>
          <w:noProof/>
        </w:rPr>
        <w:t>in relation to</w:t>
      </w:r>
      <w:r>
        <w:t xml:space="preserve"> the red flags, nor </w:t>
      </w:r>
      <w:proofErr w:type="gramStart"/>
      <w:r>
        <w:t xml:space="preserve">that records </w:t>
      </w:r>
      <w:r w:rsidRPr="004B0F9D">
        <w:rPr>
          <w:noProof/>
        </w:rPr>
        <w:t>were</w:t>
      </w:r>
      <w:proofErr w:type="gramEnd"/>
      <w:r w:rsidRPr="004B0F9D">
        <w:rPr>
          <w:noProof/>
        </w:rPr>
        <w:t xml:space="preserve"> made</w:t>
      </w:r>
      <w:r>
        <w:t xml:space="preserve"> of CCBIC’s reasons for failing to make such enquiries.</w:t>
      </w:r>
    </w:p>
    <w:p w:rsidR="009B29BB" w:rsidRDefault="00FA1A9C">
      <w:pPr>
        <w:pStyle w:val="BodyText"/>
      </w:pPr>
      <w:r w:rsidRPr="004B0F9D">
        <w:rPr>
          <w:noProof/>
        </w:rPr>
        <w:t>Concerns regarding the genuineness of the signat</w:t>
      </w:r>
      <w:r w:rsidRPr="004B0F9D">
        <w:rPr>
          <w:noProof/>
        </w:rPr>
        <w:t>ures of the Indemnity Agreements were raised by a CCBIC transaction team member</w:t>
      </w:r>
      <w:r>
        <w:t>.  The SFC found that:</w:t>
      </w:r>
    </w:p>
    <w:p w:rsidR="009B29BB" w:rsidRDefault="00FA1A9C" w:rsidP="004B0F9D">
      <w:pPr>
        <w:numPr>
          <w:ilvl w:val="0"/>
          <w:numId w:val="18"/>
        </w:numPr>
      </w:pPr>
      <w:r w:rsidRPr="004B0F9D">
        <w:rPr>
          <w:noProof/>
        </w:rPr>
        <w:t>a number of the Indemnity Agreements were apparently signed by the same person</w:t>
      </w:r>
      <w:r>
        <w:t xml:space="preserve"> on behalf of different customers; and</w:t>
      </w:r>
    </w:p>
    <w:p w:rsidR="009B29BB" w:rsidRDefault="00FA1A9C" w:rsidP="004B0F9D">
      <w:pPr>
        <w:numPr>
          <w:ilvl w:val="0"/>
          <w:numId w:val="18"/>
        </w:numPr>
      </w:pPr>
      <w:proofErr w:type="gramStart"/>
      <w:r>
        <w:t>a</w:t>
      </w:r>
      <w:proofErr w:type="gramEnd"/>
      <w:r>
        <w:t xml:space="preserve"> number of the Indemnity Agreements </w:t>
      </w:r>
      <w:r>
        <w:t xml:space="preserve">were </w:t>
      </w:r>
      <w:r w:rsidRPr="004B0F9D">
        <w:rPr>
          <w:noProof/>
        </w:rPr>
        <w:t>apparently</w:t>
      </w:r>
      <w:r>
        <w:t xml:space="preserve"> </w:t>
      </w:r>
      <w:r w:rsidRPr="004B0F9D">
        <w:rPr>
          <w:noProof/>
        </w:rPr>
        <w:t>signed</w:t>
      </w:r>
      <w:r>
        <w:t xml:space="preserve"> by the same person in different countries on behalf of different customers on the same day.</w:t>
      </w:r>
    </w:p>
    <w:p w:rsidR="009B29BB" w:rsidRDefault="00FA1A9C">
      <w:pPr>
        <w:pStyle w:val="FirstParagraph"/>
      </w:pPr>
      <w:r>
        <w:t xml:space="preserve">The SFC found that CCBIC failed to conduct reasonable due diligence </w:t>
      </w:r>
      <w:r w:rsidRPr="004B0F9D">
        <w:rPr>
          <w:noProof/>
        </w:rPr>
        <w:t>with respect to</w:t>
      </w:r>
      <w:r>
        <w:t xml:space="preserve"> the TPP Arrangement and thus breached paragraphs 17.4(a</w:t>
      </w:r>
      <w:proofErr w:type="gramStart"/>
      <w:r>
        <w:t>)(</w:t>
      </w:r>
      <w:proofErr w:type="gramEnd"/>
      <w:r>
        <w:t>i) and 17.6(c) of the Code of Conduct.</w:t>
      </w:r>
    </w:p>
    <w:p w:rsidR="009B29BB" w:rsidRDefault="00FA1A9C">
      <w:pPr>
        <w:pStyle w:val="BodyText"/>
      </w:pPr>
      <w:r>
        <w:rPr>
          <w:b/>
          <w:i/>
        </w:rPr>
        <w:t>Failure to conduct proper customer due diligence</w:t>
      </w:r>
    </w:p>
    <w:p w:rsidR="009B29BB" w:rsidRDefault="00FA1A9C">
      <w:pPr>
        <w:pStyle w:val="BodyText"/>
      </w:pPr>
      <w:r>
        <w:t>Under paragraph 17.6(f) of the Code of Conduct, where a sponsor interviews major business stakeholders (e.g. customers, suppliers, creditors and bankers), the sponsor s</w:t>
      </w:r>
      <w:r>
        <w:t xml:space="preserve">hould adopt effective </w:t>
      </w:r>
      <w:r>
        <w:lastRenderedPageBreak/>
        <w:t>and adequate measures to ensure that the records of the interviews are reasonably accurate, complete and reliable in all material respects.  In conducting interviews, the sponsor should:</w:t>
      </w:r>
    </w:p>
    <w:p w:rsidR="009B29BB" w:rsidRDefault="00FA1A9C">
      <w:pPr>
        <w:numPr>
          <w:ilvl w:val="0"/>
          <w:numId w:val="9"/>
        </w:numPr>
      </w:pPr>
      <w:r>
        <w:t>select interviewees independently based on objective and proportionate criteria;</w:t>
      </w:r>
    </w:p>
    <w:p w:rsidR="009B29BB" w:rsidRDefault="00FA1A9C">
      <w:pPr>
        <w:numPr>
          <w:ilvl w:val="0"/>
          <w:numId w:val="9"/>
        </w:numPr>
      </w:pPr>
      <w:r w:rsidRPr="004B0F9D">
        <w:rPr>
          <w:noProof/>
        </w:rPr>
        <w:t>conduct</w:t>
      </w:r>
      <w:r>
        <w:t xml:space="preserve"> the </w:t>
      </w:r>
      <w:r w:rsidRPr="004B0F9D">
        <w:rPr>
          <w:noProof/>
        </w:rPr>
        <w:t>interview</w:t>
      </w:r>
      <w:r>
        <w:t xml:space="preserve"> directly with the person selected for </w:t>
      </w:r>
      <w:r w:rsidRPr="004B0F9D">
        <w:rPr>
          <w:noProof/>
        </w:rPr>
        <w:t>interview</w:t>
      </w:r>
      <w:r>
        <w:t xml:space="preserve"> with minimal involvement of the listing applicant;</w:t>
      </w:r>
    </w:p>
    <w:p w:rsidR="009B29BB" w:rsidRDefault="00FA1A9C">
      <w:pPr>
        <w:numPr>
          <w:ilvl w:val="0"/>
          <w:numId w:val="9"/>
        </w:numPr>
      </w:pPr>
      <w:r>
        <w:t>confirm the bona fides of the interviewee (including e</w:t>
      </w:r>
      <w:r>
        <w:t>stablishing the identity of the interviewee and other relevant information) to satisfy itself that the interviewee has the appropriate authority and knowledge for the interview;</w:t>
      </w:r>
    </w:p>
    <w:p w:rsidR="009B29BB" w:rsidRDefault="00FA1A9C">
      <w:pPr>
        <w:numPr>
          <w:ilvl w:val="0"/>
          <w:numId w:val="9"/>
        </w:numPr>
      </w:pPr>
      <w:r>
        <w:t xml:space="preserve">hold an in-depth discussion </w:t>
      </w:r>
      <w:r w:rsidRPr="004B0F9D">
        <w:rPr>
          <w:noProof/>
        </w:rPr>
        <w:t>with a view to</w:t>
      </w:r>
      <w:r>
        <w:t xml:space="preserve"> obtaining adequate and satisfactory</w:t>
      </w:r>
      <w:r>
        <w:t xml:space="preserve"> responses to all questions raised and follow up on any incomplete or unsatisfactory </w:t>
      </w:r>
      <w:r w:rsidRPr="004B0F9D">
        <w:rPr>
          <w:noProof/>
        </w:rPr>
        <w:t>responses</w:t>
      </w:r>
      <w:r>
        <w:t xml:space="preserve"> or outstanding matters; and</w:t>
      </w:r>
    </w:p>
    <w:p w:rsidR="009B29BB" w:rsidRDefault="00FA1A9C">
      <w:pPr>
        <w:numPr>
          <w:ilvl w:val="0"/>
          <w:numId w:val="9"/>
        </w:numPr>
      </w:pPr>
      <w:r>
        <w:t xml:space="preserve">identify any irregularities noted during the interview (e.g. interview not taking place at the registered or business address of the </w:t>
      </w:r>
      <w:r>
        <w:t xml:space="preserve">interviewee, reluctance on the part of the interviewee to cooperate) and ensure any irregularities </w:t>
      </w:r>
      <w:r w:rsidRPr="00FA1A9C">
        <w:rPr>
          <w:noProof/>
        </w:rPr>
        <w:t>are adequately explained</w:t>
      </w:r>
      <w:r>
        <w:t xml:space="preserve"> and resolved.</w:t>
      </w:r>
    </w:p>
    <w:p w:rsidR="009B29BB" w:rsidRDefault="00FA1A9C">
      <w:pPr>
        <w:pStyle w:val="FirstParagraph"/>
      </w:pPr>
      <w:r w:rsidRPr="00FA1A9C">
        <w:rPr>
          <w:noProof/>
        </w:rPr>
        <w:t>CCBIC</w:t>
      </w:r>
      <w:r>
        <w:t xml:space="preserve"> planned to carry out face-to-face interviews with customers without the presence of Fujian Dongya’s representati</w:t>
      </w:r>
      <w:r>
        <w:t xml:space="preserve">ves.  </w:t>
      </w:r>
      <w:r w:rsidRPr="00FA1A9C">
        <w:rPr>
          <w:noProof/>
        </w:rPr>
        <w:t>CCBIC</w:t>
      </w:r>
      <w:r>
        <w:t xml:space="preserve"> informed Fujian Dongya that telephone interviews would only </w:t>
      </w:r>
      <w:r w:rsidRPr="00FA1A9C">
        <w:rPr>
          <w:noProof/>
        </w:rPr>
        <w:t>be held</w:t>
      </w:r>
      <w:r>
        <w:t xml:space="preserve"> with a small number of customers which could provide reasonable explanations why they could not attend face-to-face </w:t>
      </w:r>
      <w:r w:rsidRPr="00FA1A9C">
        <w:rPr>
          <w:noProof/>
        </w:rPr>
        <w:t>interviews</w:t>
      </w:r>
      <w:r>
        <w:t>.</w:t>
      </w:r>
    </w:p>
    <w:p w:rsidR="009B29BB" w:rsidRDefault="00FA1A9C">
      <w:pPr>
        <w:pStyle w:val="BodyText"/>
      </w:pPr>
      <w:r>
        <w:t>However, the SFC found that:</w:t>
      </w:r>
    </w:p>
    <w:p w:rsidR="009B29BB" w:rsidRDefault="00FA1A9C" w:rsidP="004B0F9D">
      <w:pPr>
        <w:numPr>
          <w:ilvl w:val="0"/>
          <w:numId w:val="19"/>
        </w:numPr>
      </w:pPr>
      <w:r>
        <w:t>out of the 22 overs</w:t>
      </w:r>
      <w:r>
        <w:t xml:space="preserve">eas customers interviewed by </w:t>
      </w:r>
      <w:r w:rsidRPr="00FA1A9C">
        <w:rPr>
          <w:noProof/>
        </w:rPr>
        <w:t>CCBIC</w:t>
      </w:r>
      <w:r>
        <w:t>:</w:t>
      </w:r>
    </w:p>
    <w:p w:rsidR="009B29BB" w:rsidRDefault="00FA1A9C" w:rsidP="004B0F9D">
      <w:pPr>
        <w:numPr>
          <w:ilvl w:val="1"/>
          <w:numId w:val="20"/>
        </w:numPr>
      </w:pPr>
      <w:r>
        <w:t xml:space="preserve">12 customers were interviewed face-to-face, </w:t>
      </w:r>
      <w:r w:rsidRPr="00FA1A9C">
        <w:rPr>
          <w:noProof/>
        </w:rPr>
        <w:t>however</w:t>
      </w:r>
      <w:r>
        <w:t xml:space="preserve"> for 11 out of 12 interviews one or two representatives from Fujian Dongya were present;</w:t>
      </w:r>
    </w:p>
    <w:p w:rsidR="009B29BB" w:rsidRDefault="00FA1A9C" w:rsidP="004B0F9D">
      <w:pPr>
        <w:numPr>
          <w:ilvl w:val="1"/>
          <w:numId w:val="20"/>
        </w:numPr>
      </w:pPr>
      <w:r>
        <w:t xml:space="preserve">8 of the 12 </w:t>
      </w:r>
      <w:r w:rsidRPr="00FA1A9C">
        <w:rPr>
          <w:noProof/>
        </w:rPr>
        <w:t>interviews</w:t>
      </w:r>
      <w:r>
        <w:t xml:space="preserve"> </w:t>
      </w:r>
      <w:r w:rsidRPr="00FA1A9C">
        <w:rPr>
          <w:noProof/>
        </w:rPr>
        <w:t>were not held</w:t>
      </w:r>
      <w:r>
        <w:t xml:space="preserve"> at the customer’s premises;</w:t>
      </w:r>
    </w:p>
    <w:p w:rsidR="009B29BB" w:rsidRDefault="00FA1A9C" w:rsidP="004B0F9D">
      <w:pPr>
        <w:numPr>
          <w:ilvl w:val="1"/>
          <w:numId w:val="20"/>
        </w:numPr>
      </w:pPr>
      <w:r w:rsidRPr="00FA1A9C">
        <w:rPr>
          <w:noProof/>
        </w:rPr>
        <w:t>10</w:t>
      </w:r>
      <w:r>
        <w:t xml:space="preserve"> customers </w:t>
      </w:r>
      <w:r w:rsidRPr="00FA1A9C">
        <w:rPr>
          <w:noProof/>
        </w:rPr>
        <w:t>we</w:t>
      </w:r>
      <w:r w:rsidRPr="00FA1A9C">
        <w:rPr>
          <w:noProof/>
        </w:rPr>
        <w:t>re interviewed</w:t>
      </w:r>
      <w:r>
        <w:t xml:space="preserve"> by telephone </w:t>
      </w:r>
      <w:r w:rsidRPr="00FA1A9C">
        <w:rPr>
          <w:noProof/>
        </w:rPr>
        <w:t>and</w:t>
      </w:r>
      <w:r>
        <w:t xml:space="preserve"> there is no record as to the reason why they could not attend face-to-face interviews.</w:t>
      </w:r>
    </w:p>
    <w:p w:rsidR="009B29BB" w:rsidRDefault="00FA1A9C" w:rsidP="004B0F9D">
      <w:pPr>
        <w:numPr>
          <w:ilvl w:val="0"/>
          <w:numId w:val="19"/>
        </w:numPr>
      </w:pPr>
      <w:r w:rsidRPr="00FA1A9C">
        <w:rPr>
          <w:noProof/>
        </w:rPr>
        <w:t>there</w:t>
      </w:r>
      <w:r>
        <w:t xml:space="preserve"> is no evidence that any steps were taken by </w:t>
      </w:r>
      <w:r w:rsidRPr="00FA1A9C">
        <w:rPr>
          <w:noProof/>
        </w:rPr>
        <w:t>CCBIC</w:t>
      </w:r>
      <w:r>
        <w:t xml:space="preserve"> to verify that the interviewees had the appropriate authority and knowledge for t</w:t>
      </w:r>
      <w:r>
        <w:t xml:space="preserve">he </w:t>
      </w:r>
      <w:r w:rsidRPr="00FA1A9C">
        <w:rPr>
          <w:noProof/>
        </w:rPr>
        <w:t>interviews</w:t>
      </w:r>
      <w:r>
        <w:t>.</w:t>
      </w:r>
    </w:p>
    <w:p w:rsidR="009B29BB" w:rsidRDefault="00FA1A9C">
      <w:pPr>
        <w:pStyle w:val="FirstParagraph"/>
      </w:pPr>
      <w:r>
        <w:t>CCBIC’s interview records include sales figures provided by some of the customers</w:t>
      </w:r>
      <w:r w:rsidRPr="00FA1A9C">
        <w:rPr>
          <w:noProof/>
        </w:rPr>
        <w:t>, however</w:t>
      </w:r>
      <w:r>
        <w:t xml:space="preserve"> such </w:t>
      </w:r>
      <w:r w:rsidRPr="00FA1A9C">
        <w:rPr>
          <w:noProof/>
        </w:rPr>
        <w:t>figures</w:t>
      </w:r>
      <w:r>
        <w:t xml:space="preserve"> are inconsistent with those </w:t>
      </w:r>
      <w:r w:rsidRPr="00FA1A9C">
        <w:rPr>
          <w:noProof/>
        </w:rPr>
        <w:t>provided</w:t>
      </w:r>
      <w:r>
        <w:t xml:space="preserve"> by Fujian Dongya to </w:t>
      </w:r>
      <w:r w:rsidRPr="00FA1A9C">
        <w:rPr>
          <w:noProof/>
        </w:rPr>
        <w:t>CCBIC</w:t>
      </w:r>
      <w:r>
        <w:t xml:space="preserve">.  </w:t>
      </w:r>
      <w:r w:rsidRPr="00FA1A9C">
        <w:rPr>
          <w:noProof/>
        </w:rPr>
        <w:t>CCBIC</w:t>
      </w:r>
      <w:r>
        <w:t xml:space="preserve"> failed to clarify the inconsistencies with either Fujian Dongya or</w:t>
      </w:r>
      <w:r>
        <w:t xml:space="preserve"> the relevant customers.</w:t>
      </w:r>
    </w:p>
    <w:p w:rsidR="009B29BB" w:rsidRDefault="00FA1A9C">
      <w:pPr>
        <w:pStyle w:val="BodyText"/>
      </w:pPr>
      <w:r>
        <w:rPr>
          <w:b/>
          <w:i/>
        </w:rPr>
        <w:t>Failure to keep a proper audit trail/written record</w:t>
      </w:r>
    </w:p>
    <w:p w:rsidR="009B29BB" w:rsidRDefault="00FA1A9C">
      <w:pPr>
        <w:pStyle w:val="BodyText"/>
      </w:pPr>
      <w:r>
        <w:t xml:space="preserve">Under paragraph 17.10 of the Code of Conduct, a sponsor should maintain adequate records </w:t>
      </w:r>
      <w:r w:rsidRPr="00FA1A9C">
        <w:rPr>
          <w:noProof/>
        </w:rPr>
        <w:t>so as to</w:t>
      </w:r>
      <w:r>
        <w:t xml:space="preserve"> demonstrate to the SFC its compliance with the Code of Conduct.  In particular, p</w:t>
      </w:r>
      <w:r>
        <w:t xml:space="preserve">aragraph 17.10(c)(ii) provides that in respect of each listing assignment, a sponsor should keep records, including relevant supporting documents and correspondence, relating to due diligence (including, </w:t>
      </w:r>
      <w:r w:rsidRPr="00FA1A9C">
        <w:rPr>
          <w:noProof/>
        </w:rPr>
        <w:t>inter alia</w:t>
      </w:r>
      <w:r>
        <w:t>, changes to the due diligence plan and re</w:t>
      </w:r>
      <w:r>
        <w:t>asons).</w:t>
      </w:r>
    </w:p>
    <w:p w:rsidR="009B29BB" w:rsidRDefault="00FA1A9C">
      <w:pPr>
        <w:pStyle w:val="BodyText"/>
      </w:pPr>
      <w:r w:rsidRPr="00FA1A9C">
        <w:rPr>
          <w:noProof/>
        </w:rPr>
        <w:t>CCBIC</w:t>
      </w:r>
      <w:r>
        <w:t xml:space="preserve"> failed to maintain a proper audit trail/written record of the due diligence work performed.  For example, it </w:t>
      </w:r>
      <w:r w:rsidRPr="00FA1A9C">
        <w:rPr>
          <w:noProof/>
        </w:rPr>
        <w:t>failed</w:t>
      </w:r>
      <w:r>
        <w:t xml:space="preserve"> to keep any records evidencing:</w:t>
      </w:r>
    </w:p>
    <w:p w:rsidR="009B29BB" w:rsidRDefault="00FA1A9C" w:rsidP="004B0F9D">
      <w:pPr>
        <w:numPr>
          <w:ilvl w:val="0"/>
          <w:numId w:val="21"/>
        </w:numPr>
      </w:pPr>
      <w:r>
        <w:t>why it decided not to complete the 11-step DD Plan;</w:t>
      </w:r>
    </w:p>
    <w:p w:rsidR="009B29BB" w:rsidRDefault="00FA1A9C" w:rsidP="004B0F9D">
      <w:pPr>
        <w:numPr>
          <w:ilvl w:val="0"/>
          <w:numId w:val="21"/>
        </w:numPr>
      </w:pPr>
      <w:r>
        <w:t>why it did not follow its customer intervi</w:t>
      </w:r>
      <w:r>
        <w:t>ew plan;</w:t>
      </w:r>
    </w:p>
    <w:p w:rsidR="009B29BB" w:rsidRDefault="00FA1A9C" w:rsidP="004B0F9D">
      <w:pPr>
        <w:numPr>
          <w:ilvl w:val="0"/>
          <w:numId w:val="21"/>
        </w:numPr>
      </w:pPr>
      <w:r>
        <w:lastRenderedPageBreak/>
        <w:t>the telephone numbers it used for the telephone interviews;</w:t>
      </w:r>
    </w:p>
    <w:p w:rsidR="009B29BB" w:rsidRDefault="00FA1A9C" w:rsidP="004B0F9D">
      <w:pPr>
        <w:numPr>
          <w:ilvl w:val="0"/>
          <w:numId w:val="21"/>
        </w:numPr>
      </w:pPr>
      <w:r>
        <w:t xml:space="preserve">the full name of </w:t>
      </w:r>
      <w:r w:rsidRPr="00FA1A9C">
        <w:rPr>
          <w:noProof/>
        </w:rPr>
        <w:t>a number of</w:t>
      </w:r>
      <w:r>
        <w:t xml:space="preserve"> persons interviewed; and</w:t>
      </w:r>
    </w:p>
    <w:p w:rsidR="009B29BB" w:rsidRDefault="00FA1A9C" w:rsidP="004B0F9D">
      <w:pPr>
        <w:numPr>
          <w:ilvl w:val="0"/>
          <w:numId w:val="21"/>
        </w:numPr>
      </w:pPr>
      <w:proofErr w:type="gramStart"/>
      <w:r>
        <w:t>the</w:t>
      </w:r>
      <w:proofErr w:type="gramEnd"/>
      <w:r>
        <w:t xml:space="preserve"> internet searches it allegedly performed on the listing applicant’s overseas customers.</w:t>
      </w:r>
    </w:p>
    <w:p w:rsidR="009B29BB" w:rsidRDefault="00FA1A9C">
      <w:pPr>
        <w:pStyle w:val="FirstParagraph"/>
      </w:pPr>
      <w:r>
        <w:rPr>
          <w:b/>
        </w:rPr>
        <w:t>Conclusion</w:t>
      </w:r>
    </w:p>
    <w:p w:rsidR="009B29BB" w:rsidRDefault="00FA1A9C">
      <w:pPr>
        <w:pStyle w:val="BodyText"/>
      </w:pPr>
      <w:r>
        <w:t xml:space="preserve">The SFC considers that </w:t>
      </w:r>
      <w:r w:rsidRPr="004B0F9D">
        <w:rPr>
          <w:noProof/>
        </w:rPr>
        <w:t>CCBIC</w:t>
      </w:r>
      <w:r>
        <w:t xml:space="preserve"> was in breach of paragraph 17 of the Code of Conduct, which was prejudicial to the interest of the investing public, and therefore, </w:t>
      </w:r>
      <w:r w:rsidRPr="004B0F9D">
        <w:rPr>
          <w:noProof/>
        </w:rPr>
        <w:t>CCBIC</w:t>
      </w:r>
      <w:r>
        <w:t xml:space="preserve"> was guilty of misconduct.</w:t>
      </w:r>
    </w:p>
    <w:p w:rsidR="009B29BB" w:rsidRDefault="00FA1A9C">
      <w:pPr>
        <w:pStyle w:val="BodyText"/>
      </w:pPr>
      <w:r>
        <w:t>The SFC took into account the following when determining the di</w:t>
      </w:r>
      <w:r>
        <w:t xml:space="preserve">sciplinary action of reprimand and </w:t>
      </w:r>
      <w:r w:rsidRPr="004B0F9D">
        <w:rPr>
          <w:noProof/>
        </w:rPr>
        <w:t>a HK$</w:t>
      </w:r>
      <w:r>
        <w:t>24 million fine:</w:t>
      </w:r>
    </w:p>
    <w:p w:rsidR="009B29BB" w:rsidRDefault="00FA1A9C" w:rsidP="004B0F9D">
      <w:pPr>
        <w:numPr>
          <w:ilvl w:val="0"/>
          <w:numId w:val="22"/>
        </w:numPr>
      </w:pPr>
      <w:r>
        <w:t>there is no evidence that the breaches and deficiencies were deliberate, intentional or reckless;</w:t>
      </w:r>
    </w:p>
    <w:p w:rsidR="009B29BB" w:rsidRDefault="00FA1A9C" w:rsidP="004B0F9D">
      <w:pPr>
        <w:numPr>
          <w:ilvl w:val="0"/>
          <w:numId w:val="22"/>
        </w:numPr>
      </w:pPr>
      <w:r w:rsidRPr="004B0F9D">
        <w:rPr>
          <w:noProof/>
        </w:rPr>
        <w:t>CCBIC</w:t>
      </w:r>
      <w:r>
        <w:t xml:space="preserve"> cooperated with the SFC in accepting the disciplinary act</w:t>
      </w:r>
      <w:bookmarkStart w:id="0" w:name="_GoBack"/>
      <w:bookmarkEnd w:id="0"/>
      <w:r>
        <w:t>ion and not disputing its findings and</w:t>
      </w:r>
      <w:r>
        <w:t xml:space="preserve"> regulatory concerns;</w:t>
      </w:r>
    </w:p>
    <w:p w:rsidR="009B29BB" w:rsidRDefault="00FA1A9C" w:rsidP="004B0F9D">
      <w:pPr>
        <w:numPr>
          <w:ilvl w:val="0"/>
          <w:numId w:val="22"/>
        </w:numPr>
      </w:pPr>
      <w:r>
        <w:t>there is no evidence suggesting a systemic failure in CCBIC’s policies, procedures and practices regarding its work as sponsor;</w:t>
      </w:r>
    </w:p>
    <w:p w:rsidR="009B29BB" w:rsidRDefault="00FA1A9C" w:rsidP="004B0F9D">
      <w:pPr>
        <w:numPr>
          <w:ilvl w:val="0"/>
          <w:numId w:val="22"/>
        </w:numPr>
      </w:pPr>
      <w:r w:rsidRPr="004B0F9D">
        <w:rPr>
          <w:noProof/>
        </w:rPr>
        <w:t xml:space="preserve">since Fujian Dongya’s listing application, CCBIC has on its own initiative improved its internal controls </w:t>
      </w:r>
      <w:r w:rsidRPr="004B0F9D">
        <w:rPr>
          <w:noProof/>
        </w:rPr>
        <w:t>and systems relating to its sponsor work, and it agreed to engage an independent reviewer to review its enhanced policies, procedures and practices regarding its work as sponsor, especially in the areas of conducting due diligence on listing applicants and</w:t>
      </w:r>
      <w:r w:rsidRPr="004B0F9D">
        <w:rPr>
          <w:noProof/>
        </w:rPr>
        <w:t xml:space="preserve"> preparing documents for listing applications;</w:t>
      </w:r>
    </w:p>
    <w:p w:rsidR="009B29BB" w:rsidRDefault="00FA1A9C" w:rsidP="004B0F9D">
      <w:pPr>
        <w:numPr>
          <w:ilvl w:val="0"/>
          <w:numId w:val="22"/>
        </w:numPr>
      </w:pPr>
      <w:r>
        <w:t>Fujian Dongya’s listing application had lapsed; and</w:t>
      </w:r>
    </w:p>
    <w:p w:rsidR="009B29BB" w:rsidRDefault="00FA1A9C" w:rsidP="004B0F9D">
      <w:pPr>
        <w:numPr>
          <w:ilvl w:val="0"/>
          <w:numId w:val="22"/>
        </w:numPr>
      </w:pPr>
      <w:r w:rsidRPr="004B0F9D">
        <w:rPr>
          <w:noProof/>
        </w:rPr>
        <w:t>CCBIC</w:t>
      </w:r>
      <w:r>
        <w:t xml:space="preserve"> has an otherwise clean disciplinary record.</w:t>
      </w:r>
    </w:p>
    <w:p w:rsidR="009B29BB" w:rsidRDefault="00FA1A9C">
      <w:pPr>
        <w:pStyle w:val="DisclaimerBold"/>
      </w:pPr>
      <w:r>
        <w:t>This newsletter is for information purposes only.</w:t>
      </w:r>
    </w:p>
    <w:p w:rsidR="009B29BB" w:rsidRDefault="00FA1A9C">
      <w:pPr>
        <w:pStyle w:val="Disclaimer"/>
      </w:pPr>
      <w:r>
        <w:t xml:space="preserve">Its contents do not constitute legal advice </w:t>
      </w:r>
      <w:r w:rsidRPr="004B0F9D">
        <w:rPr>
          <w:noProof/>
        </w:rPr>
        <w:t>and</w:t>
      </w:r>
      <w:r>
        <w:t xml:space="preserve"> it </w:t>
      </w:r>
      <w:r w:rsidRPr="004B0F9D">
        <w:rPr>
          <w:noProof/>
        </w:rPr>
        <w:t>should</w:t>
      </w:r>
      <w:r w:rsidRPr="004B0F9D">
        <w:rPr>
          <w:noProof/>
        </w:rPr>
        <w:t xml:space="preserve">  not</w:t>
      </w:r>
      <w:r>
        <w:t xml:space="preserve"> </w:t>
      </w:r>
      <w:r w:rsidRPr="004B0F9D">
        <w:rPr>
          <w:noProof/>
        </w:rPr>
        <w:t>be regarded</w:t>
      </w:r>
      <w:r>
        <w:t xml:space="preserve"> as a substitute for detailed </w:t>
      </w:r>
      <w:proofErr w:type="gramStart"/>
      <w:r w:rsidRPr="004B0F9D">
        <w:rPr>
          <w:noProof/>
        </w:rPr>
        <w:t>advice</w:t>
      </w:r>
      <w:r>
        <w:t xml:space="preserve">  in</w:t>
      </w:r>
      <w:proofErr w:type="gramEnd"/>
      <w:r>
        <w:t xml:space="preserve"> individual cases.</w:t>
      </w:r>
    </w:p>
    <w:p w:rsidR="009B29BB" w:rsidRDefault="00FA1A9C">
      <w:pPr>
        <w:pStyle w:val="Disclaimer"/>
      </w:pPr>
      <w:r>
        <w:t xml:space="preserve">Transmission of this information is not intended to create </w:t>
      </w:r>
      <w:r w:rsidRPr="004B0F9D">
        <w:rPr>
          <w:noProof/>
        </w:rPr>
        <w:t>and</w:t>
      </w:r>
      <w:r>
        <w:t xml:space="preserve"> receipt does not constitute a lawyer-client relationship between </w:t>
      </w:r>
      <w:r w:rsidRPr="004B0F9D">
        <w:rPr>
          <w:noProof/>
        </w:rPr>
        <w:t>Charltons</w:t>
      </w:r>
      <w:r>
        <w:t xml:space="preserve"> and the user or browser.</w:t>
      </w:r>
    </w:p>
    <w:p w:rsidR="009B29BB" w:rsidRDefault="00FA1A9C">
      <w:pPr>
        <w:pStyle w:val="Disclaimer"/>
      </w:pPr>
      <w:r>
        <w:t xml:space="preserve">Charltons is not </w:t>
      </w:r>
      <w:r>
        <w:t xml:space="preserve">responsible for any third party content which can </w:t>
      </w:r>
      <w:r w:rsidRPr="004B0F9D">
        <w:rPr>
          <w:noProof/>
        </w:rPr>
        <w:t>be accessed</w:t>
      </w:r>
      <w:r>
        <w:t xml:space="preserve"> through the website.</w:t>
      </w:r>
    </w:p>
    <w:p w:rsidR="009B29BB" w:rsidRDefault="00FA1A9C">
      <w:pPr>
        <w:pStyle w:val="Disclaimer"/>
      </w:pPr>
      <w:r>
        <w:t xml:space="preserve">If you do not wish to receive this newsletter </w:t>
      </w:r>
      <w:r w:rsidRPr="004B0F9D">
        <w:rPr>
          <w:noProof/>
        </w:rPr>
        <w:t>please</w:t>
      </w:r>
      <w:r>
        <w:t xml:space="preserve"> let us know by emailing us </w:t>
      </w:r>
      <w:proofErr w:type="gramStart"/>
      <w:r>
        <w:t xml:space="preserve">at  </w:t>
      </w:r>
      <w:proofErr w:type="gramEnd"/>
      <w:hyperlink r:id="rId12">
        <w:r>
          <w:t>unsubscribe@charltonslaw.com</w:t>
        </w:r>
      </w:hyperlink>
    </w:p>
    <w:p w:rsidR="009B29BB" w:rsidRDefault="00FA1A9C">
      <w:pPr>
        <w:pStyle w:val="BlackStrips"/>
      </w:pPr>
      <w:r>
        <w:t>Charltons - Hong Kong Law - 27 July 2018</w:t>
      </w:r>
    </w:p>
    <w:sectPr w:rsidR="009B29B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A9C">
      <w:pPr>
        <w:spacing w:after="0"/>
      </w:pPr>
      <w:r>
        <w:separator/>
      </w:r>
    </w:p>
  </w:endnote>
  <w:endnote w:type="continuationSeparator" w:id="0">
    <w:p w:rsidR="00000000" w:rsidRDefault="00FA1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BB" w:rsidRDefault="00FA1A9C">
      <w:r>
        <w:separator/>
      </w:r>
    </w:p>
  </w:footnote>
  <w:footnote w:type="continuationSeparator" w:id="0">
    <w:p w:rsidR="009B29BB" w:rsidRDefault="00FA1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A971A"/>
    <w:multiLevelType w:val="multilevel"/>
    <w:tmpl w:val="E37EED5C"/>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nsid w:val="F36D9EE2"/>
    <w:multiLevelType w:val="multilevel"/>
    <w:tmpl w:val="A044F9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nsid w:val="03161363"/>
    <w:multiLevelType w:val="multilevel"/>
    <w:tmpl w:val="C3F8B016"/>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nsid w:val="03CA7C80"/>
    <w:multiLevelType w:val="multilevel"/>
    <w:tmpl w:val="FF701C82"/>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nsid w:val="0E1E4954"/>
    <w:multiLevelType w:val="multilevel"/>
    <w:tmpl w:val="9B0807B2"/>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5">
    <w:nsid w:val="204478AB"/>
    <w:multiLevelType w:val="multilevel"/>
    <w:tmpl w:val="01F6A332"/>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6">
    <w:nsid w:val="420D2FB8"/>
    <w:multiLevelType w:val="hybridMultilevel"/>
    <w:tmpl w:val="C7E09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CBB96"/>
    <w:multiLevelType w:val="multilevel"/>
    <w:tmpl w:val="1B329E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nsid w:val="488966CE"/>
    <w:multiLevelType w:val="multilevel"/>
    <w:tmpl w:val="96AE2ADC"/>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
    <w:nsid w:val="4B345C7B"/>
    <w:multiLevelType w:val="multilevel"/>
    <w:tmpl w:val="23A02C20"/>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0">
    <w:nsid w:val="6BD04EF6"/>
    <w:multiLevelType w:val="hybridMultilevel"/>
    <w:tmpl w:val="F5D804D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C7BFC"/>
    <w:multiLevelType w:val="multilevel"/>
    <w:tmpl w:val="7EE45522"/>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9"/>
  </w:num>
  <w:num w:numId="17">
    <w:abstractNumId w:val="4"/>
  </w:num>
  <w:num w:numId="18">
    <w:abstractNumId w:val="5"/>
  </w:num>
  <w:num w:numId="19">
    <w:abstractNumId w:val="6"/>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c0MzC2MDcxMDI0NDRS0lEKTi0uzszPAykwrAUASqFFeywAAAA="/>
  </w:docVars>
  <w:rsids>
    <w:rsidRoot w:val="00590D07"/>
    <w:rsid w:val="00011C8B"/>
    <w:rsid w:val="004B0F9D"/>
    <w:rsid w:val="004E29B3"/>
    <w:rsid w:val="00590D07"/>
    <w:rsid w:val="00784D58"/>
    <w:rsid w:val="008D6863"/>
    <w:rsid w:val="009B29BB"/>
    <w:rsid w:val="00B86B75"/>
    <w:rsid w:val="00BC48D5"/>
    <w:rsid w:val="00C36279"/>
    <w:rsid w:val="00E315A3"/>
    <w:rsid w:val="00FA1A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cb-international-capital-limited-fined-24-million-for-sponsor-due-diligence-failur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arltonslaw.com/sfc-outlined-market-regulation-approach-and-fined-citigroup/" TargetMode="External"/><Relationship Id="rId5" Type="http://schemas.openxmlformats.org/officeDocument/2006/relationships/webSettings" Target="webSettings.xml"/><Relationship Id="rId10" Type="http://schemas.openxmlformats.org/officeDocument/2006/relationships/hyperlink" Target="https://www.sfc.hk/edistributionWeb/gateway/EN/news-and-announcements/news/openAppendix?refNo=18PR51&amp;appendix=0&amp;lang=EN" TargetMode="External"/><Relationship Id="rId4" Type="http://schemas.openxmlformats.org/officeDocument/2006/relationships/settings" Target="settings.xml"/><Relationship Id="rId9" Type="http://schemas.openxmlformats.org/officeDocument/2006/relationships/hyperlink" Target="https://www.sfc.hk/edistributionWeb/gateway/EN/news-and-announcements/news/doc?refNo=18PR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1720</Words>
  <Characters>9810</Characters>
  <Application>Microsoft Office Word</Application>
  <DocSecurity>0</DocSecurity>
  <Lines>81</Lines>
  <Paragraphs>23</Paragraphs>
  <ScaleCrop>false</ScaleCrop>
  <Company>Microsoft</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2018-07-27T10:17:00Z</dcterms:created>
  <dcterms:modified xsi:type="dcterms:W3CDTF">2018-07-27T10:21:00Z</dcterms:modified>
</cp:coreProperties>
</file>