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8C9" w:rsidRDefault="00FF61CC">
      <w:pPr>
        <w:pStyle w:val="BlackStrips"/>
      </w:pPr>
      <w:r>
        <w:t>Charltons - Hong Kong Law - 25 April 2018</w:t>
      </w:r>
    </w:p>
    <w:p w:rsidR="002A38C9" w:rsidRDefault="00484CAE">
      <w:pPr>
        <w:pStyle w:val="ReadOnline"/>
      </w:pPr>
      <w:hyperlink r:id="rId8">
        <w:r w:rsidR="00FF61CC">
          <w:t>online version</w:t>
        </w:r>
      </w:hyperlink>
    </w:p>
    <w:p w:rsidR="002A38C9" w:rsidRDefault="00FF61CC">
      <w:pPr>
        <w:pStyle w:val="Title"/>
      </w:pPr>
      <w:r>
        <w:t>New Rules for Listing Biotech Companies on the Hong Kong Stock Exchange</w:t>
      </w:r>
    </w:p>
    <w:p w:rsidR="002A38C9" w:rsidRDefault="00FF61CC">
      <w:pPr>
        <w:pStyle w:val="FirstParagraph"/>
      </w:pPr>
      <w:r>
        <w:rPr>
          <w:b/>
        </w:rPr>
        <w:t>New Rules for Listing Biotech Companies on the Hong Kong Stock Exchange</w:t>
      </w:r>
    </w:p>
    <w:p w:rsidR="002A38C9" w:rsidRDefault="00FF61CC">
      <w:pPr>
        <w:pStyle w:val="BodyText"/>
      </w:pPr>
      <w:r w:rsidRPr="00484CAE">
        <w:rPr>
          <w:noProof/>
        </w:rPr>
        <w:t xml:space="preserve">The Hong Kong Stock Exchange (the </w:t>
      </w:r>
      <w:r w:rsidRPr="00484CAE">
        <w:rPr>
          <w:b/>
          <w:noProof/>
        </w:rPr>
        <w:t>Exchange</w:t>
      </w:r>
      <w:r w:rsidRPr="00484CAE">
        <w:rPr>
          <w:noProof/>
        </w:rPr>
        <w:t xml:space="preserve">) published its </w:t>
      </w:r>
      <w:hyperlink r:id="rId9">
        <w:r w:rsidRPr="00484CAE">
          <w:rPr>
            <w:noProof/>
          </w:rPr>
          <w:t>Consultation Conclusions on a Listing Regime for Companies from Emerging and Innovative Sectors</w:t>
        </w:r>
      </w:hyperlink>
      <w:r w:rsidRPr="00484CAE">
        <w:rPr>
          <w:noProof/>
        </w:rPr>
        <w:t xml:space="preserve"> on 24 April 2018 </w:t>
      </w:r>
      <w:r w:rsidRPr="00484CAE">
        <w:rPr>
          <w:b/>
          <w:noProof/>
        </w:rPr>
        <w:t>(Consultation Conclusions)</w:t>
      </w:r>
      <w:r w:rsidRPr="00484CAE">
        <w:rPr>
          <w:noProof/>
        </w:rPr>
        <w:t xml:space="preserve"> setting out Listing Rule changes which will allow the listing on the Exchange of two new categories of company - (i) pre-revenue biotech companies and (ii) innovative and high growth issuers which have weighted voting rights (</w:t>
      </w:r>
      <w:r w:rsidRPr="00484CAE">
        <w:rPr>
          <w:b/>
          <w:noProof/>
        </w:rPr>
        <w:t>WVR</w:t>
      </w:r>
      <w:r w:rsidRPr="00484CAE">
        <w:rPr>
          <w:noProof/>
        </w:rPr>
        <w:t>) structures.</w:t>
      </w:r>
      <w:r>
        <w:t xml:space="preserve"> The new Rules take effect on 30 April 2018 and also create a new secondary listing route for innovative companies with primary listings on Qualifying Exchanges.</w:t>
      </w:r>
    </w:p>
    <w:p w:rsidR="002A38C9" w:rsidRDefault="00FF61CC">
      <w:pPr>
        <w:pStyle w:val="BodyText"/>
      </w:pPr>
      <w:r>
        <w:t xml:space="preserve">The following is a summary of the new Listing Rules relating to Biotech Company listings which </w:t>
      </w:r>
      <w:r w:rsidRPr="00484CAE">
        <w:rPr>
          <w:noProof/>
        </w:rPr>
        <w:t>highlights</w:t>
      </w:r>
      <w:r>
        <w:t xml:space="preserve"> changes made from the original proposals set out in the Exchange’s February 2018 </w:t>
      </w:r>
      <w:hyperlink r:id="rId10">
        <w:r>
          <w:t>Consultation Paper</w:t>
        </w:r>
      </w:hyperlink>
      <w:r>
        <w:t>.</w:t>
      </w:r>
      <w:hyperlink w:anchor="_ftn1">
        <w:r>
          <w:t>[1]</w:t>
        </w:r>
      </w:hyperlink>
    </w:p>
    <w:p w:rsidR="002A38C9" w:rsidRDefault="00FF61CC">
      <w:pPr>
        <w:pStyle w:val="BodyText"/>
      </w:pPr>
      <w:r>
        <w:t xml:space="preserve">For information on the new requirements for listing companies with WVR structures and </w:t>
      </w:r>
      <w:r w:rsidRPr="00484CAE">
        <w:rPr>
          <w:noProof/>
        </w:rPr>
        <w:t>for</w:t>
      </w:r>
      <w:r>
        <w:t xml:space="preserve"> secondary listing companies primary listed on Qualifying Exchanges, please see </w:t>
      </w:r>
      <w:hyperlink r:id="rId11">
        <w:r>
          <w:t>our April newsletter</w:t>
        </w:r>
      </w:hyperlink>
      <w:r>
        <w:t>.</w:t>
      </w:r>
    </w:p>
    <w:p w:rsidR="002A38C9" w:rsidRPr="00C05457" w:rsidRDefault="00FF61CC">
      <w:pPr>
        <w:numPr>
          <w:ilvl w:val="0"/>
          <w:numId w:val="2"/>
        </w:numPr>
      </w:pPr>
      <w:r>
        <w:rPr>
          <w:b/>
        </w:rPr>
        <w:t>Background</w:t>
      </w:r>
    </w:p>
    <w:p w:rsidR="00C05457" w:rsidRPr="00433864" w:rsidRDefault="00C05457" w:rsidP="00C05457">
      <w:pPr>
        <w:ind w:left="480"/>
        <w:jc w:val="both"/>
      </w:pPr>
      <w:r w:rsidRPr="00433864">
        <w:t xml:space="preserve">The aim of the Listing Rule changes for pre-revenue biotech companies is to attract listings of China’s new generation of biotech companies amid growing competition from the US and Chinese stock exchanges.   </w:t>
      </w:r>
    </w:p>
    <w:p w:rsidR="00C05457" w:rsidRPr="00433864" w:rsidRDefault="00C05457" w:rsidP="00C05457">
      <w:pPr>
        <w:ind w:left="480"/>
        <w:jc w:val="both"/>
      </w:pPr>
      <w:r w:rsidRPr="00433864">
        <w:rPr>
          <w:shd w:val="clear" w:color="auto" w:fill="FFFFFF"/>
        </w:rPr>
        <w:t xml:space="preserve">It </w:t>
      </w:r>
      <w:r w:rsidRPr="00484CAE">
        <w:rPr>
          <w:noProof/>
          <w:shd w:val="clear" w:color="auto" w:fill="FFFFFF"/>
        </w:rPr>
        <w:t>is hoped</w:t>
      </w:r>
      <w:r w:rsidRPr="00433864">
        <w:rPr>
          <w:shd w:val="clear" w:color="auto" w:fill="FFFFFF"/>
        </w:rPr>
        <w:t xml:space="preserve"> that the rule changes will allow the Exchange to overtake NASDAQ within </w:t>
      </w:r>
      <w:r w:rsidRPr="00484CAE">
        <w:rPr>
          <w:noProof/>
          <w:shd w:val="clear" w:color="auto" w:fill="FFFFFF"/>
        </w:rPr>
        <w:t>5</w:t>
      </w:r>
      <w:r w:rsidRPr="00433864">
        <w:rPr>
          <w:shd w:val="clear" w:color="auto" w:fill="FFFFFF"/>
        </w:rPr>
        <w:t xml:space="preserve"> years </w:t>
      </w:r>
      <w:r w:rsidRPr="00484CAE">
        <w:rPr>
          <w:noProof/>
          <w:shd w:val="clear" w:color="auto" w:fill="FFFFFF"/>
        </w:rPr>
        <w:t>in terms of</w:t>
      </w:r>
      <w:r w:rsidRPr="00433864">
        <w:rPr>
          <w:shd w:val="clear" w:color="auto" w:fill="FFFFFF"/>
        </w:rPr>
        <w:t xml:space="preserve"> the number and market capitalisation of Chinese Biotech listings.</w:t>
      </w:r>
      <w:r w:rsidRPr="00433864">
        <w:rPr>
          <w:rStyle w:val="FootnoteReference"/>
          <w:shd w:val="clear" w:color="auto" w:fill="FFFFFF"/>
        </w:rPr>
        <w:footnoteReference w:id="1"/>
      </w:r>
      <w:r w:rsidRPr="00433864">
        <w:t xml:space="preserve"> Media reports suggest that some two dozen Biotech co</w:t>
      </w:r>
      <w:bookmarkStart w:id="0" w:name="_GoBack"/>
      <w:bookmarkEnd w:id="0"/>
      <w:r w:rsidRPr="00433864">
        <w:t xml:space="preserve">mpanies are already considering a Hong Kong listing, including Shanghai Tasly Pharmaceutical which plans to raise around US$1 billion, Shanghai Henlius Biotech aiming to raise at least US$500 million, and Hua Medicine, seeking to raise at least US$400 million. The chairman of Ascentage Pharma Group Corp. also recently confirmed that the company </w:t>
      </w:r>
      <w:r w:rsidRPr="00484CAE">
        <w:rPr>
          <w:noProof/>
        </w:rPr>
        <w:t>will</w:t>
      </w:r>
      <w:r w:rsidRPr="00433864">
        <w:t xml:space="preserve"> </w:t>
      </w:r>
      <w:r w:rsidRPr="00484CAE">
        <w:rPr>
          <w:noProof/>
        </w:rPr>
        <w:t>seek</w:t>
      </w:r>
      <w:r w:rsidRPr="00433864">
        <w:t xml:space="preserve"> a Hong Kong listing.  Beijing Shenogen Pharma Group, which was previously considering listing on Nasdaq, is reportedly planning to list in Hong Kong, as is US-based Biotech Grail.  Higher Hong Kong valuations are apparently another </w:t>
      </w:r>
      <w:r w:rsidRPr="00484CAE">
        <w:rPr>
          <w:noProof/>
        </w:rPr>
        <w:t>key</w:t>
      </w:r>
      <w:r w:rsidRPr="00433864">
        <w:t xml:space="preserve"> attraction of Hong Kong listing.</w:t>
      </w:r>
      <w:r w:rsidRPr="00433864">
        <w:rPr>
          <w:rStyle w:val="FootnoteReference"/>
          <w:shd w:val="clear" w:color="auto" w:fill="FFFFFF"/>
        </w:rPr>
        <w:footnoteReference w:id="2"/>
      </w:r>
    </w:p>
    <w:p w:rsidR="00C05457" w:rsidRPr="00433864" w:rsidRDefault="00C05457" w:rsidP="00C05457">
      <w:pPr>
        <w:ind w:left="480"/>
        <w:jc w:val="both"/>
      </w:pPr>
      <w:r w:rsidRPr="00433864">
        <w:t xml:space="preserve">The Listing Rule changes aim to attract more listing applicants from the high-growth tech and biotech sectors, the Hong Kong market having been dominated in the past by old economy, low growth sectors, notably the financial and property sectors. The financial requirements for listing on the Exchange have acted as a bar to listing biotech companies whose R&amp;D costs typically mean that they do not make profits for some time. </w:t>
      </w:r>
    </w:p>
    <w:p w:rsidR="00C05457" w:rsidRDefault="00C05457" w:rsidP="00C05457">
      <w:pPr>
        <w:ind w:left="480"/>
      </w:pPr>
    </w:p>
    <w:p w:rsidR="002A38C9" w:rsidRDefault="00FF61CC">
      <w:pPr>
        <w:pStyle w:val="Compact"/>
        <w:numPr>
          <w:ilvl w:val="0"/>
          <w:numId w:val="2"/>
        </w:numPr>
      </w:pPr>
      <w:r>
        <w:rPr>
          <w:b/>
        </w:rPr>
        <w:t>New Rules for Listing Pre-revenue Biotech Companies</w:t>
      </w:r>
    </w:p>
    <w:p w:rsidR="002A38C9" w:rsidRDefault="00FF61CC">
      <w:pPr>
        <w:numPr>
          <w:ilvl w:val="0"/>
          <w:numId w:val="3"/>
        </w:numPr>
      </w:pPr>
      <w:r>
        <w:rPr>
          <w:b/>
        </w:rPr>
        <w:t>Introduction</w:t>
      </w:r>
    </w:p>
    <w:p w:rsidR="002A38C9" w:rsidRDefault="00FF61CC">
      <w:pPr>
        <w:numPr>
          <w:ilvl w:val="0"/>
          <w:numId w:val="1"/>
        </w:numPr>
      </w:pPr>
      <w:r>
        <w:t xml:space="preserve">The Exchange will add new Chapter 18A to the Main Board Listing Rules </w:t>
      </w:r>
      <w:r>
        <w:rPr>
          <w:b/>
        </w:rPr>
        <w:t>(LR)</w:t>
      </w:r>
      <w:r>
        <w:t xml:space="preserve"> for the listing of biotech companies which cannot meet the Main Board’s financial eligibility tests.</w:t>
      </w:r>
      <w:hyperlink w:anchor="_ftn4">
        <w:r>
          <w:t>[4]</w:t>
        </w:r>
      </w:hyperlink>
      <w:r>
        <w:t xml:space="preserve"> Guidance on the factors the Exchange will consider in determining listing applicants’ eligibility and suitability for </w:t>
      </w:r>
      <w:r w:rsidRPr="00484CAE">
        <w:rPr>
          <w:noProof/>
        </w:rPr>
        <w:t>listing</w:t>
      </w:r>
      <w:r>
        <w:t xml:space="preserve"> under the new rules is set out in a new HKEx Guidance Letter “Suitability for Listing of Biotech Companies” as set out in Appendix II of the Consultation Conclusions (</w:t>
      </w:r>
      <w:r>
        <w:rPr>
          <w:b/>
        </w:rPr>
        <w:t>the Biotech Guidance Letter</w:t>
      </w:r>
      <w:r>
        <w:t>).</w:t>
      </w:r>
    </w:p>
    <w:p w:rsidR="002A38C9" w:rsidRDefault="00FF61CC">
      <w:pPr>
        <w:numPr>
          <w:ilvl w:val="0"/>
          <w:numId w:val="3"/>
        </w:numPr>
      </w:pPr>
      <w:r w:rsidRPr="00484CAE">
        <w:rPr>
          <w:b/>
          <w:noProof/>
        </w:rPr>
        <w:t>Definition</w:t>
      </w:r>
      <w:r>
        <w:rPr>
          <w:b/>
        </w:rPr>
        <w:t xml:space="preserve"> of "Biotech Companies"</w:t>
      </w:r>
    </w:p>
    <w:p w:rsidR="002A38C9" w:rsidRDefault="00FF61CC">
      <w:pPr>
        <w:numPr>
          <w:ilvl w:val="0"/>
          <w:numId w:val="1"/>
        </w:numPr>
      </w:pPr>
      <w:r>
        <w:t xml:space="preserve">Biotech Companies </w:t>
      </w:r>
      <w:r w:rsidRPr="00484CAE">
        <w:rPr>
          <w:noProof/>
        </w:rPr>
        <w:t>are defined</w:t>
      </w:r>
      <w:r>
        <w:t xml:space="preserve"> as companies primarily engaged in the research and development (</w:t>
      </w:r>
      <w:r>
        <w:rPr>
          <w:b/>
        </w:rPr>
        <w:t>R&amp;D</w:t>
      </w:r>
      <w:r>
        <w:t>), application and commercialisation of Biotech products, processes or technologies. The definition of Biotech is “the application of science and technology to produce commercial products with a medical or other biological application”.</w:t>
      </w:r>
    </w:p>
    <w:p w:rsidR="002A38C9" w:rsidRDefault="00FF61CC">
      <w:pPr>
        <w:numPr>
          <w:ilvl w:val="0"/>
          <w:numId w:val="3"/>
        </w:numPr>
      </w:pPr>
      <w:r>
        <w:rPr>
          <w:b/>
        </w:rPr>
        <w:t>Listing Requirements</w:t>
      </w:r>
    </w:p>
    <w:p w:rsidR="002A38C9" w:rsidRDefault="00FF61CC">
      <w:pPr>
        <w:numPr>
          <w:ilvl w:val="0"/>
          <w:numId w:val="1"/>
        </w:numPr>
      </w:pPr>
      <w:r>
        <w:rPr>
          <w:b/>
        </w:rPr>
        <w:t>3.1 Expected market capitalisation</w:t>
      </w:r>
    </w:p>
    <w:p w:rsidR="002A38C9" w:rsidRDefault="00FF61CC">
      <w:pPr>
        <w:numPr>
          <w:ilvl w:val="0"/>
          <w:numId w:val="1"/>
        </w:numPr>
      </w:pPr>
      <w:r>
        <w:t>Biotech Companies will be required to have a minimum expected market capitalisation of HK$1.5 billion at listing (LR18A.03(2)).</w:t>
      </w:r>
    </w:p>
    <w:p w:rsidR="002A38C9" w:rsidRDefault="00FF61CC">
      <w:pPr>
        <w:numPr>
          <w:ilvl w:val="0"/>
          <w:numId w:val="1"/>
        </w:numPr>
      </w:pPr>
      <w:r>
        <w:rPr>
          <w:b/>
        </w:rPr>
        <w:t xml:space="preserve">3.2 </w:t>
      </w:r>
      <w:r w:rsidRPr="00C05457">
        <w:rPr>
          <w:b/>
          <w:noProof/>
        </w:rPr>
        <w:t>Suitabality</w:t>
      </w:r>
      <w:r>
        <w:rPr>
          <w:b/>
        </w:rPr>
        <w:t xml:space="preserve"> for listing</w:t>
      </w:r>
    </w:p>
    <w:p w:rsidR="002A38C9" w:rsidRDefault="00FF61CC">
      <w:pPr>
        <w:numPr>
          <w:ilvl w:val="0"/>
          <w:numId w:val="1"/>
        </w:numPr>
      </w:pPr>
      <w:r>
        <w:t xml:space="preserve">In addition to the general requirement that the Exchange must consider the listing applicant and its business to be suitable for listing on the Exchange, Biotech companies will need to meet the following </w:t>
      </w:r>
      <w:r w:rsidRPr="00C05457">
        <w:rPr>
          <w:noProof/>
        </w:rPr>
        <w:t>requirements</w:t>
      </w:r>
      <w:r>
        <w:t xml:space="preserve"> set out in the Biotech Guidance Letter, to be considered </w:t>
      </w:r>
      <w:r w:rsidRPr="00C05457">
        <w:rPr>
          <w:noProof/>
        </w:rPr>
        <w:t>suitable</w:t>
      </w:r>
      <w:r>
        <w:t xml:space="preserve"> for listing under new Chapter 18A:</w:t>
      </w:r>
    </w:p>
    <w:p w:rsidR="002A38C9" w:rsidRDefault="00FF61CC">
      <w:pPr>
        <w:numPr>
          <w:ilvl w:val="1"/>
          <w:numId w:val="4"/>
        </w:numPr>
      </w:pPr>
      <w:r w:rsidRPr="00C05457">
        <w:rPr>
          <w:noProof/>
        </w:rPr>
        <w:t>development</w:t>
      </w:r>
      <w:r>
        <w:t xml:space="preserve"> of at least one Core Product beyond the concept stage. The Exchange will </w:t>
      </w:r>
      <w:r w:rsidRPr="00C05457">
        <w:rPr>
          <w:noProof/>
        </w:rPr>
        <w:t>consider</w:t>
      </w:r>
      <w:r>
        <w:t xml:space="preserve"> a Core Product to have been developed beyond the concept stage if it has met the developmental milestones specified for the relevant type of product in paragraph 3.3 of the Biotech Guidance Letter.</w:t>
      </w:r>
    </w:p>
    <w:p w:rsidR="002A38C9" w:rsidRDefault="00FF61CC">
      <w:pPr>
        <w:numPr>
          <w:ilvl w:val="1"/>
          <w:numId w:val="4"/>
        </w:numPr>
      </w:pPr>
      <w:r w:rsidRPr="00C05457">
        <w:rPr>
          <w:noProof/>
        </w:rPr>
        <w:t>primary</w:t>
      </w:r>
      <w:r>
        <w:t xml:space="preserve"> engagement in R&amp;D for developing its Core Product(s);</w:t>
      </w:r>
    </w:p>
    <w:p w:rsidR="002A38C9" w:rsidRDefault="00FF61CC">
      <w:pPr>
        <w:numPr>
          <w:ilvl w:val="1"/>
          <w:numId w:val="4"/>
        </w:numPr>
      </w:pPr>
      <w:r w:rsidRPr="00C05457">
        <w:rPr>
          <w:noProof/>
        </w:rPr>
        <w:t>engagement</w:t>
      </w:r>
      <w:r>
        <w:t xml:space="preserve"> in the R&amp;D of its Core Products for a minimum of 12 months </w:t>
      </w:r>
      <w:r w:rsidRPr="00C05457">
        <w:rPr>
          <w:noProof/>
        </w:rPr>
        <w:t>prior to</w:t>
      </w:r>
      <w:r>
        <w:t xml:space="preserve"> listing (and in the case of a Core Product which is in-licensed or acquired from third parties, the listing applicant must be able to demonstrate R&amp;D progress since the in-licensing acquisition);</w:t>
      </w:r>
    </w:p>
    <w:p w:rsidR="002A38C9" w:rsidRDefault="00FF61CC">
      <w:pPr>
        <w:numPr>
          <w:ilvl w:val="1"/>
          <w:numId w:val="4"/>
        </w:numPr>
      </w:pPr>
      <w:r>
        <w:t>the primary reason for listing must be the raising of finance for R&amp;D to bring its Core Product(s) to commercialisation;</w:t>
      </w:r>
    </w:p>
    <w:p w:rsidR="002A38C9" w:rsidRDefault="00FF61CC">
      <w:pPr>
        <w:numPr>
          <w:ilvl w:val="1"/>
          <w:numId w:val="4"/>
        </w:numPr>
      </w:pPr>
      <w:r>
        <w:t xml:space="preserve">the applicant must have registered patent(s), patent application(s) </w:t>
      </w:r>
      <w:r w:rsidRPr="00C05457">
        <w:rPr>
          <w:noProof/>
        </w:rPr>
        <w:t>and/or</w:t>
      </w:r>
      <w:r>
        <w:t xml:space="preserve"> intellectual property </w:t>
      </w:r>
      <w:r w:rsidRPr="00C05457">
        <w:rPr>
          <w:noProof/>
        </w:rPr>
        <w:t>in relation to</w:t>
      </w:r>
      <w:r>
        <w:t xml:space="preserve"> its Core Product(s);</w:t>
      </w:r>
    </w:p>
    <w:p w:rsidR="002A38C9" w:rsidRDefault="00FF61CC">
      <w:pPr>
        <w:numPr>
          <w:ilvl w:val="1"/>
          <w:numId w:val="4"/>
        </w:numPr>
      </w:pPr>
      <w:r w:rsidRPr="00C05457">
        <w:rPr>
          <w:noProof/>
        </w:rPr>
        <w:t>if</w:t>
      </w:r>
      <w:r>
        <w:t xml:space="preserve"> the applicant is engaged in R&amp;D of pharmaceutical (small molecule drugs) products or biological products, there must be a pipeline of those potential products; and</w:t>
      </w:r>
    </w:p>
    <w:p w:rsidR="002A38C9" w:rsidRDefault="00FF61CC">
      <w:pPr>
        <w:numPr>
          <w:ilvl w:val="1"/>
          <w:numId w:val="4"/>
        </w:numPr>
      </w:pPr>
      <w:r>
        <w:t xml:space="preserve">prior meaningful </w:t>
      </w:r>
      <w:r w:rsidRPr="00C05457">
        <w:rPr>
          <w:noProof/>
        </w:rPr>
        <w:t>third party</w:t>
      </w:r>
      <w:r>
        <w:t xml:space="preserve"> investment (being more than just a token investment) from at least one sophisticated investor at least six months before the proposed listing, and that investment continuing at listing. In the case of a spin-off listing from a parent company, the Exchange may not insist on compliance with this requirement where the </w:t>
      </w:r>
      <w:r>
        <w:lastRenderedPageBreak/>
        <w:t>applicant can otherwise demonstrate a reasonable degree of market acceptance for its R&amp;D and Biotech Product.</w:t>
      </w:r>
    </w:p>
    <w:p w:rsidR="002A38C9" w:rsidRDefault="00FF61CC">
      <w:pPr>
        <w:numPr>
          <w:ilvl w:val="1"/>
          <w:numId w:val="1"/>
        </w:numPr>
      </w:pPr>
      <w:r>
        <w:t xml:space="preserve">The Exchange will assess on a case-by-case basis whether an investor is a “sophisticated investor” for these purposes by reference to factors such as net assets and assets under management, relevant investment experience, and the investor’s knowledge and expertise in the </w:t>
      </w:r>
      <w:r w:rsidRPr="00C05457">
        <w:rPr>
          <w:noProof/>
        </w:rPr>
        <w:t>relevant</w:t>
      </w:r>
      <w:r>
        <w:t xml:space="preserve"> field. The Biotech Guidance Letter (paragraph 3.2(g)(i)) gives the following as examples of sophisticated investors:</w:t>
      </w:r>
    </w:p>
    <w:p w:rsidR="002A38C9" w:rsidRDefault="00FF61CC">
      <w:pPr>
        <w:numPr>
          <w:ilvl w:val="2"/>
          <w:numId w:val="5"/>
        </w:numPr>
      </w:pPr>
      <w:r>
        <w:t>a dedicated healthcare or Biotech fund or an established fund with a division/department that invests in the biopharmaceutical sector;</w:t>
      </w:r>
    </w:p>
    <w:p w:rsidR="002A38C9" w:rsidRDefault="00FF61CC">
      <w:pPr>
        <w:numPr>
          <w:ilvl w:val="2"/>
          <w:numId w:val="5"/>
        </w:numPr>
      </w:pPr>
      <w:r>
        <w:t xml:space="preserve">a </w:t>
      </w:r>
      <w:r w:rsidRPr="00C05457">
        <w:rPr>
          <w:noProof/>
        </w:rPr>
        <w:t>major</w:t>
      </w:r>
      <w:r>
        <w:t xml:space="preserve"> pharmaceutical/healthcare company;</w:t>
      </w:r>
    </w:p>
    <w:p w:rsidR="002A38C9" w:rsidRDefault="00FF61CC">
      <w:pPr>
        <w:numPr>
          <w:ilvl w:val="2"/>
          <w:numId w:val="5"/>
        </w:numPr>
      </w:pPr>
      <w:r>
        <w:t>a venture capital fund of a major pharmaceutical/healthcare company; and</w:t>
      </w:r>
    </w:p>
    <w:p w:rsidR="002A38C9" w:rsidRDefault="00FF61CC">
      <w:pPr>
        <w:numPr>
          <w:ilvl w:val="2"/>
          <w:numId w:val="5"/>
        </w:numPr>
      </w:pPr>
      <w:r>
        <w:t xml:space="preserve">an investor, investment fund or financial institution with minimum assets under management of HK$1 billion (increased from the HK$500,000 </w:t>
      </w:r>
      <w:r w:rsidRPr="00C05457">
        <w:rPr>
          <w:noProof/>
        </w:rPr>
        <w:t>originally proposed</w:t>
      </w:r>
      <w:r>
        <w:t>).</w:t>
      </w:r>
    </w:p>
    <w:p w:rsidR="002A38C9" w:rsidRDefault="00FF61CC">
      <w:pPr>
        <w:numPr>
          <w:ilvl w:val="1"/>
          <w:numId w:val="1"/>
        </w:numPr>
      </w:pPr>
      <w:r>
        <w:t xml:space="preserve">Whether a </w:t>
      </w:r>
      <w:r w:rsidRPr="00C05457">
        <w:rPr>
          <w:noProof/>
        </w:rPr>
        <w:t>third party</w:t>
      </w:r>
      <w:r>
        <w:t xml:space="preserve"> investment is meaningful will again be assessed case-by-case taking into account the nature of the investment, the amount invested, the size of the stake and timing of the </w:t>
      </w:r>
      <w:r w:rsidRPr="00FF61CC">
        <w:rPr>
          <w:noProof/>
        </w:rPr>
        <w:t>investment</w:t>
      </w:r>
      <w:r>
        <w:t>. As an indicative benchmark, the Exchange gives the following as examples of investment amounts that will typically be considered to be “meaningful investments”:</w:t>
      </w:r>
    </w:p>
    <w:tbl>
      <w:tblPr>
        <w:tblW w:w="5000" w:type="pct"/>
        <w:tblLook w:val="04A0" w:firstRow="1" w:lastRow="0" w:firstColumn="1" w:lastColumn="0" w:noHBand="0" w:noVBand="1"/>
      </w:tblPr>
      <w:tblGrid>
        <w:gridCol w:w="3555"/>
        <w:gridCol w:w="6839"/>
      </w:tblGrid>
      <w:tr w:rsidR="002A38C9">
        <w:tc>
          <w:tcPr>
            <w:tcW w:w="0" w:type="auto"/>
          </w:tcPr>
          <w:p w:rsidR="002A38C9" w:rsidRDefault="00FF61CC">
            <w:pPr>
              <w:numPr>
                <w:ilvl w:val="0"/>
                <w:numId w:val="1"/>
              </w:numPr>
            </w:pPr>
            <w:r>
              <w:t>Applicant’s market capitalisation</w:t>
            </w:r>
          </w:p>
        </w:tc>
        <w:tc>
          <w:tcPr>
            <w:tcW w:w="0" w:type="auto"/>
          </w:tcPr>
          <w:p w:rsidR="002A38C9" w:rsidRDefault="00FF61CC">
            <w:pPr>
              <w:numPr>
                <w:ilvl w:val="0"/>
                <w:numId w:val="1"/>
              </w:numPr>
            </w:pPr>
            <w:r>
              <w:t>Meaningful investment - % of the applicant’s issued share capital on listing</w:t>
            </w:r>
          </w:p>
        </w:tc>
      </w:tr>
      <w:tr w:rsidR="002A38C9">
        <w:tc>
          <w:tcPr>
            <w:tcW w:w="0" w:type="auto"/>
          </w:tcPr>
          <w:p w:rsidR="002A38C9" w:rsidRDefault="00FF61CC">
            <w:pPr>
              <w:numPr>
                <w:ilvl w:val="0"/>
                <w:numId w:val="1"/>
              </w:numPr>
            </w:pPr>
            <w:r>
              <w:t>HK$1.5 bln - HK$3 bln</w:t>
            </w:r>
          </w:p>
        </w:tc>
        <w:tc>
          <w:tcPr>
            <w:tcW w:w="0" w:type="auto"/>
          </w:tcPr>
          <w:p w:rsidR="002A38C9" w:rsidRDefault="00FF61CC">
            <w:pPr>
              <w:numPr>
                <w:ilvl w:val="0"/>
                <w:numId w:val="1"/>
              </w:numPr>
            </w:pPr>
            <w:r>
              <w:t>5% or more</w:t>
            </w:r>
          </w:p>
        </w:tc>
      </w:tr>
      <w:tr w:rsidR="002A38C9">
        <w:tc>
          <w:tcPr>
            <w:tcW w:w="0" w:type="auto"/>
          </w:tcPr>
          <w:p w:rsidR="002A38C9" w:rsidRDefault="00FF61CC">
            <w:pPr>
              <w:numPr>
                <w:ilvl w:val="0"/>
                <w:numId w:val="1"/>
              </w:numPr>
            </w:pPr>
            <w:r>
              <w:t>HK$3 bln - HK$8 bln</w:t>
            </w:r>
          </w:p>
        </w:tc>
        <w:tc>
          <w:tcPr>
            <w:tcW w:w="0" w:type="auto"/>
          </w:tcPr>
          <w:p w:rsidR="002A38C9" w:rsidRDefault="00FF61CC">
            <w:pPr>
              <w:numPr>
                <w:ilvl w:val="0"/>
                <w:numId w:val="1"/>
              </w:numPr>
            </w:pPr>
            <w:r>
              <w:t>3% or more</w:t>
            </w:r>
          </w:p>
        </w:tc>
      </w:tr>
      <w:tr w:rsidR="002A38C9">
        <w:tc>
          <w:tcPr>
            <w:tcW w:w="0" w:type="auto"/>
          </w:tcPr>
          <w:p w:rsidR="002A38C9" w:rsidRDefault="00FF61CC">
            <w:pPr>
              <w:numPr>
                <w:ilvl w:val="0"/>
                <w:numId w:val="1"/>
              </w:numPr>
            </w:pPr>
            <w:r>
              <w:t>&gt; HK$8 billion</w:t>
            </w:r>
          </w:p>
        </w:tc>
        <w:tc>
          <w:tcPr>
            <w:tcW w:w="0" w:type="auto"/>
          </w:tcPr>
          <w:p w:rsidR="002A38C9" w:rsidRDefault="00FF61CC">
            <w:pPr>
              <w:numPr>
                <w:ilvl w:val="0"/>
                <w:numId w:val="1"/>
              </w:numPr>
            </w:pPr>
            <w:r>
              <w:t>1% or more</w:t>
            </w:r>
          </w:p>
        </w:tc>
      </w:tr>
    </w:tbl>
    <w:p w:rsidR="002A38C9" w:rsidRDefault="00FF61CC">
      <w:pPr>
        <w:numPr>
          <w:ilvl w:val="0"/>
          <w:numId w:val="1"/>
        </w:numPr>
      </w:pPr>
      <w:r>
        <w:rPr>
          <w:b/>
        </w:rPr>
        <w:t>3.3 Track Record</w:t>
      </w:r>
    </w:p>
    <w:p w:rsidR="002A38C9" w:rsidRDefault="00FF61CC">
      <w:pPr>
        <w:numPr>
          <w:ilvl w:val="0"/>
          <w:numId w:val="1"/>
        </w:numPr>
      </w:pPr>
      <w:r>
        <w:t xml:space="preserve">Biotech Company listing applicants must have a track record of operating in their current line of business </w:t>
      </w:r>
      <w:r w:rsidRPr="00FF61CC">
        <w:rPr>
          <w:noProof/>
        </w:rPr>
        <w:t>of</w:t>
      </w:r>
      <w:r>
        <w:t xml:space="preserve"> at least </w:t>
      </w:r>
      <w:r w:rsidRPr="00FF61CC">
        <w:rPr>
          <w:noProof/>
        </w:rPr>
        <w:t>2</w:t>
      </w:r>
      <w:r>
        <w:t xml:space="preserve"> financial years </w:t>
      </w:r>
      <w:r w:rsidRPr="00FF61CC">
        <w:rPr>
          <w:noProof/>
        </w:rPr>
        <w:t>prior to</w:t>
      </w:r>
      <w:r>
        <w:t xml:space="preserve"> </w:t>
      </w:r>
      <w:r w:rsidRPr="00FF61CC">
        <w:rPr>
          <w:noProof/>
        </w:rPr>
        <w:t>listing</w:t>
      </w:r>
      <w:r>
        <w:t xml:space="preserve"> under substantially the same management (LR 18A.03(3)).</w:t>
      </w:r>
    </w:p>
    <w:p w:rsidR="002A38C9" w:rsidRDefault="00FF61CC">
      <w:pPr>
        <w:numPr>
          <w:ilvl w:val="0"/>
          <w:numId w:val="1"/>
        </w:numPr>
      </w:pPr>
      <w:r>
        <w:rPr>
          <w:b/>
        </w:rPr>
        <w:t>3.4 Ownership Continuity and Control</w:t>
      </w:r>
    </w:p>
    <w:p w:rsidR="002A38C9" w:rsidRDefault="00FF61CC">
      <w:pPr>
        <w:numPr>
          <w:ilvl w:val="0"/>
          <w:numId w:val="1"/>
        </w:numPr>
      </w:pPr>
      <w:r>
        <w:t xml:space="preserve">The Exchange will review any change in the applicant’s ownership within 12 months </w:t>
      </w:r>
      <w:r w:rsidRPr="00FF61CC">
        <w:rPr>
          <w:noProof/>
        </w:rPr>
        <w:t>prior to</w:t>
      </w:r>
      <w:r>
        <w:t xml:space="preserve"> the date of the listing application in assessing the applicant’s suitability for listing (Paragraph 4.1 of the Biotech Guidance Letter).</w:t>
      </w:r>
    </w:p>
    <w:p w:rsidR="002A38C9" w:rsidRDefault="00FF61CC">
      <w:pPr>
        <w:numPr>
          <w:ilvl w:val="0"/>
          <w:numId w:val="1"/>
        </w:numPr>
      </w:pPr>
      <w:r>
        <w:rPr>
          <w:b/>
        </w:rPr>
        <w:t>3.5 Working capital</w:t>
      </w:r>
    </w:p>
    <w:p w:rsidR="002A38C9" w:rsidRDefault="00FF61CC">
      <w:pPr>
        <w:numPr>
          <w:ilvl w:val="0"/>
          <w:numId w:val="1"/>
        </w:numPr>
      </w:pPr>
      <w:r>
        <w:t xml:space="preserve">An applicant must have </w:t>
      </w:r>
      <w:r w:rsidRPr="00FF61CC">
        <w:rPr>
          <w:noProof/>
        </w:rPr>
        <w:t>available</w:t>
      </w:r>
      <w:r>
        <w:t xml:space="preserve"> working capital to cover at least 125% of the group’s costs for at least 12 months from the date of publication of the listing document (after taking into account the IPO proceeds) (LR 18A.03(4)). These costs should substantially consist of (a) general, administrative and operating costs, and (b) R&amp;D costs. The Exchange expects a substantive portion of the IPO proceeds to </w:t>
      </w:r>
      <w:r w:rsidRPr="00FF61CC">
        <w:rPr>
          <w:noProof/>
        </w:rPr>
        <w:t>be applied</w:t>
      </w:r>
      <w:r>
        <w:t xml:space="preserve"> to these costs.</w:t>
      </w:r>
    </w:p>
    <w:p w:rsidR="002A38C9" w:rsidRDefault="00FF61CC">
      <w:pPr>
        <w:numPr>
          <w:ilvl w:val="0"/>
          <w:numId w:val="1"/>
        </w:numPr>
      </w:pPr>
      <w:r>
        <w:rPr>
          <w:b/>
        </w:rPr>
        <w:t>3.6 Subscription of shares by existing shareholders</w:t>
      </w:r>
    </w:p>
    <w:p w:rsidR="002A38C9" w:rsidRDefault="00FF61CC">
      <w:pPr>
        <w:numPr>
          <w:ilvl w:val="0"/>
          <w:numId w:val="1"/>
        </w:numPr>
      </w:pPr>
      <w:r>
        <w:lastRenderedPageBreak/>
        <w:t xml:space="preserve">Biotech Companies which list under Chapter 18A are expected to have significant ongoing funding needs to bring their Core Product(s) to commercialisation. Existing shareholders in Biotech Company </w:t>
      </w:r>
      <w:r w:rsidRPr="00FF61CC">
        <w:rPr>
          <w:noProof/>
        </w:rPr>
        <w:t>listing</w:t>
      </w:r>
      <w:r>
        <w:t xml:space="preserve"> applicants may wish to continue to participate in post-listing fundraisings to prevent their shareholdings </w:t>
      </w:r>
      <w:r w:rsidRPr="00FF61CC">
        <w:rPr>
          <w:noProof/>
        </w:rPr>
        <w:t>being diluted</w:t>
      </w:r>
      <w:r>
        <w:t xml:space="preserve">. Given the likely funding needs of Biotech Companies and the </w:t>
      </w:r>
      <w:r w:rsidRPr="00FF61CC">
        <w:rPr>
          <w:noProof/>
        </w:rPr>
        <w:t>important</w:t>
      </w:r>
      <w:r>
        <w:t xml:space="preserve"> role played by existing shareholders in providing continuing funding, existing shareholders will be allowed to participate in a Biotech Company’s IPO, provided that the company complies with the public float requirements of LR 8.08(1) and LR18A.07.</w:t>
      </w:r>
    </w:p>
    <w:p w:rsidR="002A38C9" w:rsidRDefault="00FF61CC">
      <w:pPr>
        <w:numPr>
          <w:ilvl w:val="0"/>
          <w:numId w:val="1"/>
        </w:numPr>
      </w:pPr>
      <w:r>
        <w:rPr>
          <w:b/>
        </w:rPr>
        <w:t xml:space="preserve">3.7 Public Float - Restriction on </w:t>
      </w:r>
      <w:r w:rsidRPr="00FF61CC">
        <w:rPr>
          <w:b/>
          <w:noProof/>
        </w:rPr>
        <w:t>cornestones</w:t>
      </w:r>
    </w:p>
    <w:p w:rsidR="002A38C9" w:rsidRDefault="00FF61CC">
      <w:pPr>
        <w:numPr>
          <w:ilvl w:val="0"/>
          <w:numId w:val="1"/>
        </w:numPr>
      </w:pPr>
      <w:r>
        <w:t xml:space="preserve">Shares allocated to cornerstone investors will not </w:t>
      </w:r>
      <w:r w:rsidRPr="00FF61CC">
        <w:rPr>
          <w:noProof/>
        </w:rPr>
        <w:t>be taken</w:t>
      </w:r>
      <w:r>
        <w:t xml:space="preserve"> into account in determining whether a Biotech Company has met the minimum 25% initial public float requirement under Listing Rule 8.08(1) on </w:t>
      </w:r>
      <w:r w:rsidRPr="00FF61CC">
        <w:rPr>
          <w:noProof/>
        </w:rPr>
        <w:t>initial</w:t>
      </w:r>
      <w:r>
        <w:t xml:space="preserve"> listing and up to the expiry of the six-month </w:t>
      </w:r>
      <w:r w:rsidRPr="00FF61CC">
        <w:rPr>
          <w:noProof/>
        </w:rPr>
        <w:t>lock up</w:t>
      </w:r>
      <w:r>
        <w:t xml:space="preserve"> period for cornerstone investors.</w:t>
      </w:r>
    </w:p>
    <w:p w:rsidR="002A38C9" w:rsidRDefault="00FF61CC">
      <w:pPr>
        <w:numPr>
          <w:ilvl w:val="0"/>
          <w:numId w:val="1"/>
        </w:numPr>
      </w:pPr>
      <w:r>
        <w:t xml:space="preserve">Existing shareholders are allowed to subscribe for IPO shares to avoid their shareholdings </w:t>
      </w:r>
      <w:r w:rsidRPr="00C05457">
        <w:rPr>
          <w:noProof/>
        </w:rPr>
        <w:t>being diluted</w:t>
      </w:r>
      <w:r>
        <w:t xml:space="preserve"> under HKEx Guidance Letters 43-12 and 85-16. Existing shareholders who cannot satisfy the conditions under current guidance for subscribing for IPO </w:t>
      </w:r>
      <w:r w:rsidRPr="00C05457">
        <w:rPr>
          <w:noProof/>
        </w:rPr>
        <w:t>shares,</w:t>
      </w:r>
      <w:r>
        <w:t xml:space="preserve"> can participate in the IPO of a Biotech Company as a cornerstone investor.</w:t>
      </w:r>
    </w:p>
    <w:p w:rsidR="002A38C9" w:rsidRDefault="00FF61CC">
      <w:pPr>
        <w:numPr>
          <w:ilvl w:val="0"/>
          <w:numId w:val="1"/>
        </w:numPr>
      </w:pPr>
      <w:r>
        <w:t xml:space="preserve">IPO shares subscribed by existing shareholders will not count towards the public float. However, shares subscribed before the IPO by existing shareholders who are not core connected persons or not recognised as a member of the public under </w:t>
      </w:r>
      <w:r w:rsidRPr="00C05457">
        <w:rPr>
          <w:noProof/>
        </w:rPr>
        <w:t>LR8.24,</w:t>
      </w:r>
      <w:r>
        <w:t xml:space="preserve"> will count towards the public float.</w:t>
      </w:r>
    </w:p>
    <w:p w:rsidR="002A38C9" w:rsidRDefault="00FF61CC">
      <w:pPr>
        <w:numPr>
          <w:ilvl w:val="0"/>
          <w:numId w:val="1"/>
        </w:numPr>
      </w:pPr>
      <w:r>
        <w:t xml:space="preserve">Due to concerns </w:t>
      </w:r>
      <w:r w:rsidRPr="00C05457">
        <w:rPr>
          <w:noProof/>
        </w:rPr>
        <w:t>on</w:t>
      </w:r>
      <w:r>
        <w:t xml:space="preserve"> the restrictions on cornerstone investors raised by respondents to the Consultation Paper, the Exchange has decided to allow some flexibility for Biotech Companies whose market capitalisation exceeds the minimum HK$1.5 billion required. Biotech listing applicants will be required to have a minimum public float of 25% representing HK$375 million of </w:t>
      </w:r>
      <w:r w:rsidRPr="00C05457">
        <w:rPr>
          <w:noProof/>
        </w:rPr>
        <w:t>public</w:t>
      </w:r>
      <w:r>
        <w:t xml:space="preserve"> float at listing. That public float must be achieved without including subscriptions by the company’s existing shareholders and subscriptions by cornerstone investors. Provided a listing applicant can meet this requirement, cornerstone investments and existing shareholders’ subscriptions can </w:t>
      </w:r>
      <w:r w:rsidRPr="00C05457">
        <w:rPr>
          <w:noProof/>
        </w:rPr>
        <w:t>be included</w:t>
      </w:r>
      <w:r>
        <w:t xml:space="preserve"> in determining the company’s public float, provided that the existing shareholders and cornerstone investors </w:t>
      </w:r>
      <w:r w:rsidRPr="00C05457">
        <w:rPr>
          <w:noProof/>
        </w:rPr>
        <w:t>are not core</w:t>
      </w:r>
      <w:r>
        <w:t xml:space="preserve"> connected persons of the company or otherwise </w:t>
      </w:r>
      <w:r w:rsidRPr="00C05457">
        <w:rPr>
          <w:noProof/>
        </w:rPr>
        <w:t>are not recognised</w:t>
      </w:r>
      <w:r>
        <w:t xml:space="preserve"> as members of the public under LR8.24.</w:t>
      </w:r>
    </w:p>
    <w:p w:rsidR="002A38C9" w:rsidRDefault="00FF61CC">
      <w:pPr>
        <w:numPr>
          <w:ilvl w:val="0"/>
          <w:numId w:val="1"/>
        </w:numPr>
      </w:pPr>
      <w:r>
        <w:rPr>
          <w:b/>
        </w:rPr>
        <w:t>3.8 Connected Person's Post-Listing Anti-Dilution rights</w:t>
      </w:r>
    </w:p>
    <w:p w:rsidR="002A38C9" w:rsidRDefault="00FF61CC">
      <w:pPr>
        <w:numPr>
          <w:ilvl w:val="0"/>
          <w:numId w:val="1"/>
        </w:numPr>
      </w:pPr>
      <w:r>
        <w:t xml:space="preserve">Respondents to the Consultation Paper raised concerns that </w:t>
      </w:r>
      <w:r w:rsidRPr="00C05457">
        <w:rPr>
          <w:noProof/>
        </w:rPr>
        <w:t>substantial shareholders (i.e. holders of 10%) of Biotech Companies would be prevented by the Exchange’s connected transaction rules</w:t>
      </w:r>
      <w:r>
        <w:t xml:space="preserve"> from avoiding dilution of their shareholdings by subscribing for shares in a post-listing share offering. They considered this could be problematic for Biotech Company listing applicants that are likely to have significant ongoing funding needs to develop Core Product(s) to commercialisation and that existing investors would likely want to participate in post-listing </w:t>
      </w:r>
      <w:r w:rsidRPr="00C05457">
        <w:rPr>
          <w:noProof/>
        </w:rPr>
        <w:t>fund raisings</w:t>
      </w:r>
      <w:r>
        <w:t xml:space="preserve"> to prevent a dilution of their shareholdings.</w:t>
      </w:r>
    </w:p>
    <w:p w:rsidR="002A38C9" w:rsidRDefault="00FF61CC">
      <w:pPr>
        <w:numPr>
          <w:ilvl w:val="0"/>
          <w:numId w:val="1"/>
        </w:numPr>
      </w:pPr>
      <w:r>
        <w:t xml:space="preserve">A substantial shareholder is a “connected person” under Chapter 14 of the Listing Rules. Although there is an exemption for issues of new shares to existing shareholders, this only applies to pro rata issues to existing shareholders. Thus a non-pro rata issue to a connected person would be conditional upon shareholders’ approval and any shareholder with a material interest in the transaction would be required to abstain from voting. While the Exchange acknowledges that Biotech companies are likely to have significant ongoing funding needs, it also notes that an issue of shares to a substantial shareholder will be allowed provided it is approved by shareholders who do not have a material interest in the transaction. It does not </w:t>
      </w:r>
      <w:r w:rsidRPr="00C05457">
        <w:rPr>
          <w:noProof/>
        </w:rPr>
        <w:lastRenderedPageBreak/>
        <w:t>therefore</w:t>
      </w:r>
      <w:r>
        <w:t xml:space="preserve"> propose to change the Listing Rules at this </w:t>
      </w:r>
      <w:r w:rsidRPr="00C05457">
        <w:rPr>
          <w:noProof/>
        </w:rPr>
        <w:t>stage,</w:t>
      </w:r>
      <w:r>
        <w:t xml:space="preserve"> but will monitor developments and consider whether a further review is necessary </w:t>
      </w:r>
      <w:r w:rsidRPr="00C05457">
        <w:rPr>
          <w:noProof/>
        </w:rPr>
        <w:t>in</w:t>
      </w:r>
      <w:r>
        <w:t xml:space="preserve"> future.</w:t>
      </w:r>
    </w:p>
    <w:p w:rsidR="002A38C9" w:rsidRDefault="00FF61CC">
      <w:pPr>
        <w:numPr>
          <w:ilvl w:val="0"/>
          <w:numId w:val="3"/>
        </w:numPr>
      </w:pPr>
      <w:r>
        <w:rPr>
          <w:b/>
        </w:rPr>
        <w:t>Enhanced disclosure requirements</w:t>
      </w:r>
    </w:p>
    <w:p w:rsidR="002A38C9" w:rsidRDefault="00FF61CC">
      <w:pPr>
        <w:numPr>
          <w:ilvl w:val="0"/>
          <w:numId w:val="1"/>
        </w:numPr>
      </w:pPr>
      <w:r>
        <w:t xml:space="preserve">Biotech applicants must provide </w:t>
      </w:r>
      <w:r w:rsidRPr="00C05457">
        <w:rPr>
          <w:noProof/>
        </w:rPr>
        <w:t>enhanced</w:t>
      </w:r>
      <w:r>
        <w:t xml:space="preserve"> risk disclosure in listing documents, including information relating to:</w:t>
      </w:r>
    </w:p>
    <w:p w:rsidR="002A38C9" w:rsidRDefault="00FF61CC">
      <w:pPr>
        <w:numPr>
          <w:ilvl w:val="1"/>
          <w:numId w:val="6"/>
        </w:numPr>
      </w:pPr>
      <w:r>
        <w:t>their strategic objectives;</w:t>
      </w:r>
    </w:p>
    <w:p w:rsidR="002A38C9" w:rsidRDefault="00FF61CC">
      <w:pPr>
        <w:numPr>
          <w:ilvl w:val="1"/>
          <w:numId w:val="6"/>
        </w:numPr>
      </w:pPr>
      <w:r>
        <w:t>details of each Core Product, including:</w:t>
      </w:r>
    </w:p>
    <w:p w:rsidR="002A38C9" w:rsidRDefault="00FF61CC">
      <w:pPr>
        <w:numPr>
          <w:ilvl w:val="2"/>
          <w:numId w:val="7"/>
        </w:numPr>
      </w:pPr>
      <w:r>
        <w:t>a description of the Core Product;</w:t>
      </w:r>
    </w:p>
    <w:p w:rsidR="002A38C9" w:rsidRDefault="00FF61CC">
      <w:pPr>
        <w:numPr>
          <w:ilvl w:val="2"/>
          <w:numId w:val="7"/>
        </w:numPr>
      </w:pPr>
      <w:r w:rsidRPr="00C05457">
        <w:rPr>
          <w:noProof/>
        </w:rPr>
        <w:t>details</w:t>
      </w:r>
      <w:r>
        <w:t xml:space="preserve"> of any relevant regulatory approval required and/or obtained for each Core Product;</w:t>
      </w:r>
    </w:p>
    <w:p w:rsidR="002A38C9" w:rsidRDefault="00FF61CC">
      <w:pPr>
        <w:numPr>
          <w:ilvl w:val="2"/>
          <w:numId w:val="7"/>
        </w:numPr>
      </w:pPr>
      <w:r>
        <w:t xml:space="preserve">a summary of material communications with the </w:t>
      </w:r>
      <w:r w:rsidRPr="00C05457">
        <w:rPr>
          <w:noProof/>
        </w:rPr>
        <w:t>relevant</w:t>
      </w:r>
      <w:r>
        <w:t xml:space="preserve"> Competent Authority in relation to its Core Product(s) (unless disclosure is not permitted under applicable laws or regulations, or the directions of the Competent Authority);</w:t>
      </w:r>
    </w:p>
    <w:p w:rsidR="002A38C9" w:rsidRDefault="00FF61CC">
      <w:pPr>
        <w:numPr>
          <w:ilvl w:val="2"/>
          <w:numId w:val="7"/>
        </w:numPr>
      </w:pPr>
      <w:r>
        <w:t>the stage of research and development for each Core Product;</w:t>
      </w:r>
    </w:p>
    <w:p w:rsidR="002A38C9" w:rsidRDefault="00FF61CC">
      <w:pPr>
        <w:numPr>
          <w:ilvl w:val="2"/>
          <w:numId w:val="7"/>
        </w:numPr>
      </w:pPr>
      <w:r>
        <w:t xml:space="preserve">development details by key stages and its requirements for each Core Product to reach commercialisation, and a general indication of the likely timeframe, if the development is successful, for the product to reach </w:t>
      </w:r>
      <w:r w:rsidRPr="00C05457">
        <w:rPr>
          <w:noProof/>
        </w:rPr>
        <w:t>commercialisation</w:t>
      </w:r>
      <w:r>
        <w:t>;</w:t>
      </w:r>
    </w:p>
    <w:p w:rsidR="002A38C9" w:rsidRDefault="00FF61CC">
      <w:pPr>
        <w:numPr>
          <w:ilvl w:val="2"/>
          <w:numId w:val="7"/>
        </w:numPr>
      </w:pPr>
      <w:r>
        <w:t>all material safety data relating to its Core Product(s), including any serious adverse events;</w:t>
      </w:r>
    </w:p>
    <w:p w:rsidR="002A38C9" w:rsidRDefault="00FF61CC">
      <w:pPr>
        <w:numPr>
          <w:ilvl w:val="2"/>
          <w:numId w:val="7"/>
        </w:numPr>
      </w:pPr>
      <w:r>
        <w:t xml:space="preserve">a description of the immediate market opportunity of each Core Product if it proceeds to </w:t>
      </w:r>
      <w:r w:rsidRPr="00C05457">
        <w:rPr>
          <w:noProof/>
        </w:rPr>
        <w:t>commercialization</w:t>
      </w:r>
      <w:r>
        <w:t xml:space="preserve"> and any potential increased market opportunity in the future (including a general </w:t>
      </w:r>
      <w:r w:rsidRPr="00C05457">
        <w:rPr>
          <w:noProof/>
        </w:rPr>
        <w:t>description</w:t>
      </w:r>
      <w:r>
        <w:t xml:space="preserve"> of the competition in the potential market);</w:t>
      </w:r>
    </w:p>
    <w:p w:rsidR="002A38C9" w:rsidRDefault="00FF61CC">
      <w:pPr>
        <w:numPr>
          <w:ilvl w:val="2"/>
          <w:numId w:val="7"/>
        </w:numPr>
      </w:pPr>
      <w:r>
        <w:t>details of patent(s) granted, registered and applied for in relation to the Core Product(s) (unless the applicant is able to demonstrate to the satisfaction of the Exchange that such disclosure would require the applicant to disclose highly sensitive commercial information) or an appropriate negative statement;</w:t>
      </w:r>
    </w:p>
    <w:p w:rsidR="002A38C9" w:rsidRDefault="00FF61CC">
      <w:pPr>
        <w:numPr>
          <w:ilvl w:val="2"/>
          <w:numId w:val="7"/>
        </w:numPr>
      </w:pPr>
      <w:r>
        <w:t>in the case of a Core Product which is biologics, disclosure of planned capacity and production related technology details; and</w:t>
      </w:r>
    </w:p>
    <w:p w:rsidR="002A38C9" w:rsidRDefault="00FF61CC">
      <w:pPr>
        <w:numPr>
          <w:ilvl w:val="2"/>
          <w:numId w:val="7"/>
        </w:numPr>
      </w:pPr>
      <w:r>
        <w:t>to the extent that any Core Product is in-licensed, a clear statement of the issuer’s material rights and obligations under the applicable licensing agreement;</w:t>
      </w:r>
    </w:p>
    <w:p w:rsidR="002A38C9" w:rsidRDefault="00FF61CC">
      <w:pPr>
        <w:numPr>
          <w:ilvl w:val="1"/>
          <w:numId w:val="6"/>
        </w:numPr>
      </w:pPr>
      <w:r w:rsidRPr="00C05457">
        <w:rPr>
          <w:noProof/>
        </w:rPr>
        <w:t>a statement</w:t>
      </w:r>
      <w:r>
        <w:t xml:space="preserve"> that no material unexpected or adverse changes have occurred since the date of issue of the relevant regulatory approval for a Core Product (if any). Any material changes must </w:t>
      </w:r>
      <w:r w:rsidRPr="00C05457">
        <w:rPr>
          <w:noProof/>
        </w:rPr>
        <w:t>be prominently disclosed</w:t>
      </w:r>
      <w:r>
        <w:t>;</w:t>
      </w:r>
    </w:p>
    <w:p w:rsidR="002A38C9" w:rsidRDefault="00FF61CC">
      <w:pPr>
        <w:numPr>
          <w:ilvl w:val="1"/>
          <w:numId w:val="6"/>
        </w:numPr>
      </w:pPr>
      <w:r>
        <w:t>a description of any Approved Products owned by the listing applicant and the length of unexpired patent protection period and details of current and expected market competitors;</w:t>
      </w:r>
    </w:p>
    <w:p w:rsidR="002A38C9" w:rsidRDefault="00FF61CC">
      <w:pPr>
        <w:numPr>
          <w:ilvl w:val="1"/>
          <w:numId w:val="6"/>
        </w:numPr>
      </w:pPr>
      <w:r>
        <w:t>details of the Biotech Company’s R&amp;D experience including:</w:t>
      </w:r>
    </w:p>
    <w:p w:rsidR="002A38C9" w:rsidRDefault="00FF61CC">
      <w:pPr>
        <w:pStyle w:val="Compact"/>
        <w:numPr>
          <w:ilvl w:val="2"/>
          <w:numId w:val="8"/>
        </w:numPr>
      </w:pPr>
      <w:r w:rsidRPr="00C05457">
        <w:rPr>
          <w:noProof/>
        </w:rPr>
        <w:t>details</w:t>
      </w:r>
      <w:r>
        <w:t xml:space="preserve"> of its operations in laboratory R&amp;D;</w:t>
      </w:r>
    </w:p>
    <w:p w:rsidR="002A38C9" w:rsidRDefault="00FF61CC">
      <w:pPr>
        <w:pStyle w:val="Compact"/>
        <w:numPr>
          <w:ilvl w:val="2"/>
          <w:numId w:val="8"/>
        </w:numPr>
      </w:pPr>
      <w:r>
        <w:lastRenderedPageBreak/>
        <w:t xml:space="preserve">the collective expertise and </w:t>
      </w:r>
      <w:r w:rsidRPr="00C05457">
        <w:rPr>
          <w:noProof/>
        </w:rPr>
        <w:t>experience</w:t>
      </w:r>
      <w:r>
        <w:t xml:space="preserve"> of key management and technical staff; and</w:t>
      </w:r>
    </w:p>
    <w:p w:rsidR="002A38C9" w:rsidRDefault="00FF61CC">
      <w:pPr>
        <w:pStyle w:val="Compact"/>
        <w:numPr>
          <w:ilvl w:val="2"/>
          <w:numId w:val="8"/>
        </w:numPr>
      </w:pPr>
      <w:r>
        <w:t>its collaborative development and research agreements;</w:t>
      </w:r>
    </w:p>
    <w:p w:rsidR="002A38C9" w:rsidRDefault="00FF61CC">
      <w:pPr>
        <w:numPr>
          <w:ilvl w:val="1"/>
          <w:numId w:val="6"/>
        </w:numPr>
      </w:pPr>
      <w:r>
        <w:t>details of the relevant experience of the Biotech Company’s directors and senior management in the research and development, manufacturing and commercialisation of Biotech Products;</w:t>
      </w:r>
    </w:p>
    <w:p w:rsidR="002A38C9" w:rsidRDefault="00FF61CC">
      <w:pPr>
        <w:numPr>
          <w:ilvl w:val="1"/>
          <w:numId w:val="6"/>
        </w:numPr>
      </w:pPr>
      <w:r w:rsidRPr="00C05457">
        <w:rPr>
          <w:noProof/>
        </w:rPr>
        <w:t>the salient terms of any service agreements between the listing applicant and its key management and technical staff</w:t>
      </w:r>
      <w:r>
        <w:t>;</w:t>
      </w:r>
    </w:p>
    <w:p w:rsidR="002A38C9" w:rsidRDefault="00FF61CC">
      <w:pPr>
        <w:numPr>
          <w:ilvl w:val="1"/>
          <w:numId w:val="6"/>
        </w:numPr>
      </w:pPr>
      <w:r>
        <w:t xml:space="preserve">measures (if any) that the applicant has in place to retain key management or technical staff (e.g. incentivisation arrangements and/or non-compete clauses), and the safeguards and arrangements that the applicant has in place, in the event of the departure of any of its </w:t>
      </w:r>
      <w:r w:rsidRPr="00C05457">
        <w:rPr>
          <w:noProof/>
        </w:rPr>
        <w:t>key</w:t>
      </w:r>
      <w:r>
        <w:t xml:space="preserve"> management or technical staff;</w:t>
      </w:r>
    </w:p>
    <w:p w:rsidR="002A38C9" w:rsidRDefault="00FF61CC">
      <w:pPr>
        <w:numPr>
          <w:ilvl w:val="1"/>
          <w:numId w:val="6"/>
        </w:numPr>
      </w:pPr>
      <w:r>
        <w:t>a statement of any legal claims or proceedings that may have an influence on its research and development for any Core Product;</w:t>
      </w:r>
    </w:p>
    <w:p w:rsidR="002A38C9" w:rsidRDefault="00FF61CC">
      <w:pPr>
        <w:numPr>
          <w:ilvl w:val="1"/>
          <w:numId w:val="6"/>
        </w:numPr>
      </w:pPr>
      <w:r>
        <w:t>disclosure of specific risks, general risks and dependencies, including:</w:t>
      </w:r>
    </w:p>
    <w:p w:rsidR="002A38C9" w:rsidRDefault="00FF61CC">
      <w:pPr>
        <w:numPr>
          <w:ilvl w:val="2"/>
          <w:numId w:val="9"/>
        </w:numPr>
      </w:pPr>
      <w:r>
        <w:t>potential risks in clinical trials;</w:t>
      </w:r>
    </w:p>
    <w:p w:rsidR="002A38C9" w:rsidRDefault="00FF61CC">
      <w:pPr>
        <w:numPr>
          <w:ilvl w:val="2"/>
          <w:numId w:val="9"/>
        </w:numPr>
      </w:pPr>
      <w:r>
        <w:t>risks associated with the approval process for its Core Product(s); and</w:t>
      </w:r>
    </w:p>
    <w:p w:rsidR="002A38C9" w:rsidRDefault="00FF61CC">
      <w:pPr>
        <w:numPr>
          <w:ilvl w:val="2"/>
          <w:numId w:val="9"/>
        </w:numPr>
      </w:pPr>
      <w:r>
        <w:t>the extent to which its business is dependent on key individuals and the impact of the departure of key management or technical staff on the applicant’s business operations;</w:t>
      </w:r>
    </w:p>
    <w:p w:rsidR="002A38C9" w:rsidRDefault="00FF61CC">
      <w:pPr>
        <w:numPr>
          <w:ilvl w:val="1"/>
          <w:numId w:val="6"/>
        </w:numPr>
      </w:pPr>
      <w:r>
        <w:t>if relevant and material to the Biotech Company’s business operations, information on:</w:t>
      </w:r>
    </w:p>
    <w:p w:rsidR="002A38C9" w:rsidRDefault="00FF61CC">
      <w:pPr>
        <w:numPr>
          <w:ilvl w:val="2"/>
          <w:numId w:val="10"/>
        </w:numPr>
      </w:pPr>
      <w:r>
        <w:t>project risks arising from environmental, social, and health and safety issues;</w:t>
      </w:r>
    </w:p>
    <w:p w:rsidR="002A38C9" w:rsidRDefault="00FF61CC">
      <w:pPr>
        <w:numPr>
          <w:ilvl w:val="2"/>
          <w:numId w:val="10"/>
        </w:numPr>
      </w:pPr>
      <w:r>
        <w:t xml:space="preserve">compliance with host country laws, regulations and permits, and payments made to host country governments in respect of tax, royalties and other significant </w:t>
      </w:r>
      <w:r w:rsidRPr="00C05457">
        <w:rPr>
          <w:noProof/>
        </w:rPr>
        <w:t>payments</w:t>
      </w:r>
      <w:r>
        <w:t xml:space="preserve"> on a country by country basis;</w:t>
      </w:r>
    </w:p>
    <w:p w:rsidR="002A38C9" w:rsidRDefault="00FF61CC">
      <w:pPr>
        <w:numPr>
          <w:ilvl w:val="2"/>
          <w:numId w:val="10"/>
        </w:numPr>
      </w:pPr>
      <w:r>
        <w:t xml:space="preserve">its historical experience of dealing with host country laws and practices, including management of differences between national and local </w:t>
      </w:r>
      <w:r w:rsidRPr="00C05457">
        <w:rPr>
          <w:noProof/>
        </w:rPr>
        <w:t>practice</w:t>
      </w:r>
      <w:r>
        <w:t>; and</w:t>
      </w:r>
    </w:p>
    <w:p w:rsidR="002A38C9" w:rsidRDefault="00FF61CC">
      <w:pPr>
        <w:numPr>
          <w:ilvl w:val="2"/>
          <w:numId w:val="10"/>
        </w:numPr>
      </w:pPr>
      <w:r>
        <w:t xml:space="preserve">its </w:t>
      </w:r>
      <w:r w:rsidRPr="00C05457">
        <w:rPr>
          <w:noProof/>
        </w:rPr>
        <w:t>historical</w:t>
      </w:r>
      <w:r>
        <w:t xml:space="preserve"> experience of dealing with the concerns of local governments and communities on the sites of its research and trials, and relevant management arrangements;</w:t>
      </w:r>
    </w:p>
    <w:p w:rsidR="002A38C9" w:rsidRDefault="00FF61CC">
      <w:pPr>
        <w:numPr>
          <w:ilvl w:val="1"/>
          <w:numId w:val="6"/>
        </w:numPr>
      </w:pPr>
      <w:r>
        <w:t xml:space="preserve">an estimate of cash operating costs, including costs related to R&amp;D and clinical trials incurred in the development of the Core Products and </w:t>
      </w:r>
      <w:r w:rsidRPr="00C05457">
        <w:rPr>
          <w:noProof/>
        </w:rPr>
        <w:t>costs</w:t>
      </w:r>
      <w:r>
        <w:t xml:space="preserve"> associated with:</w:t>
      </w:r>
    </w:p>
    <w:p w:rsidR="002A38C9" w:rsidRDefault="00FF61CC">
      <w:pPr>
        <w:numPr>
          <w:ilvl w:val="2"/>
          <w:numId w:val="11"/>
        </w:numPr>
      </w:pPr>
      <w:r>
        <w:t>workforce employment;</w:t>
      </w:r>
    </w:p>
    <w:p w:rsidR="002A38C9" w:rsidRDefault="00FF61CC">
      <w:pPr>
        <w:numPr>
          <w:ilvl w:val="2"/>
          <w:numId w:val="11"/>
        </w:numPr>
      </w:pPr>
      <w:r>
        <w:t>direct production costs, including materials (if it has commenced production);</w:t>
      </w:r>
    </w:p>
    <w:p w:rsidR="002A38C9" w:rsidRDefault="00FF61CC">
      <w:pPr>
        <w:numPr>
          <w:ilvl w:val="2"/>
          <w:numId w:val="11"/>
        </w:numPr>
      </w:pPr>
      <w:r w:rsidRPr="00C05457">
        <w:rPr>
          <w:noProof/>
        </w:rPr>
        <w:t>R&amp;D</w:t>
      </w:r>
      <w:r>
        <w:t>;</w:t>
      </w:r>
    </w:p>
    <w:p w:rsidR="002A38C9" w:rsidRDefault="00FF61CC">
      <w:pPr>
        <w:numPr>
          <w:ilvl w:val="2"/>
          <w:numId w:val="11"/>
        </w:numPr>
      </w:pPr>
      <w:r>
        <w:t>product marketing (if any);</w:t>
      </w:r>
    </w:p>
    <w:p w:rsidR="002A38C9" w:rsidRDefault="00FF61CC">
      <w:pPr>
        <w:numPr>
          <w:ilvl w:val="2"/>
          <w:numId w:val="11"/>
        </w:numPr>
      </w:pPr>
      <w:r>
        <w:t>non-income taxes, royalties and other governmental charges (if any);</w:t>
      </w:r>
    </w:p>
    <w:p w:rsidR="002A38C9" w:rsidRDefault="00FF61CC">
      <w:pPr>
        <w:numPr>
          <w:ilvl w:val="2"/>
          <w:numId w:val="11"/>
        </w:numPr>
      </w:pPr>
      <w:r>
        <w:t>contingency allowances; and</w:t>
      </w:r>
    </w:p>
    <w:p w:rsidR="002A38C9" w:rsidRDefault="00FF61CC">
      <w:pPr>
        <w:numPr>
          <w:ilvl w:val="2"/>
          <w:numId w:val="11"/>
        </w:numPr>
      </w:pPr>
      <w:r>
        <w:t>any other significant costs.</w:t>
      </w:r>
    </w:p>
    <w:p w:rsidR="002A38C9" w:rsidRDefault="00FF61CC">
      <w:pPr>
        <w:numPr>
          <w:ilvl w:val="1"/>
          <w:numId w:val="1"/>
        </w:numPr>
      </w:pPr>
      <w:r w:rsidRPr="00C05457">
        <w:rPr>
          <w:noProof/>
        </w:rPr>
        <w:lastRenderedPageBreak/>
        <w:t>In particular, Biotech Companies are required to: (a) set out the components of cash operating costs separately by category; (b) explain the reason for any departure from the list of items to be included under cash operating costs; and (c) discuss any material cost items that should be highlighted to investors;</w:t>
      </w:r>
    </w:p>
    <w:p w:rsidR="002A38C9" w:rsidRDefault="00FF61CC">
      <w:pPr>
        <w:numPr>
          <w:ilvl w:val="1"/>
          <w:numId w:val="6"/>
        </w:numPr>
      </w:pPr>
      <w:r>
        <w:t xml:space="preserve">if the applicant has obtained an expert technical assessment, that assessment should </w:t>
      </w:r>
      <w:r w:rsidRPr="00C05457">
        <w:rPr>
          <w:noProof/>
        </w:rPr>
        <w:t>be included</w:t>
      </w:r>
      <w:r>
        <w:t xml:space="preserve"> in the listing document where relevant and appropriate; and</w:t>
      </w:r>
    </w:p>
    <w:p w:rsidR="002A38C9" w:rsidRDefault="00FF61CC">
      <w:pPr>
        <w:numPr>
          <w:ilvl w:val="1"/>
          <w:numId w:val="6"/>
        </w:numPr>
      </w:pPr>
      <w:r>
        <w:t xml:space="preserve">listing </w:t>
      </w:r>
      <w:r w:rsidRPr="00C05457">
        <w:rPr>
          <w:noProof/>
        </w:rPr>
        <w:t>documents</w:t>
      </w:r>
      <w:r>
        <w:t xml:space="preserve"> must </w:t>
      </w:r>
      <w:r w:rsidRPr="00C05457">
        <w:rPr>
          <w:noProof/>
        </w:rPr>
        <w:t>include</w:t>
      </w:r>
      <w:r>
        <w:t xml:space="preserve"> a prominent warning statement in respect of each Core Product that it may not ultimately </w:t>
      </w:r>
      <w:r w:rsidRPr="00C05457">
        <w:rPr>
          <w:noProof/>
        </w:rPr>
        <w:t>be successfully developed</w:t>
      </w:r>
      <w:r>
        <w:t xml:space="preserve"> and marketed.</w:t>
      </w:r>
    </w:p>
    <w:p w:rsidR="002A38C9" w:rsidRDefault="00FF61CC">
      <w:pPr>
        <w:numPr>
          <w:ilvl w:val="0"/>
          <w:numId w:val="3"/>
        </w:numPr>
      </w:pPr>
      <w:r>
        <w:rPr>
          <w:b/>
        </w:rPr>
        <w:t>Continuing Obligations of Listed Biotech Companies</w:t>
      </w:r>
    </w:p>
    <w:p w:rsidR="002A38C9" w:rsidRDefault="00FF61CC">
      <w:pPr>
        <w:numPr>
          <w:ilvl w:val="0"/>
          <w:numId w:val="1"/>
        </w:numPr>
      </w:pPr>
      <w:r>
        <w:rPr>
          <w:b/>
        </w:rPr>
        <w:t>5.1 Financial Report Disclosure</w:t>
      </w:r>
    </w:p>
    <w:p w:rsidR="002A38C9" w:rsidRDefault="00FF61CC">
      <w:pPr>
        <w:numPr>
          <w:ilvl w:val="0"/>
          <w:numId w:val="1"/>
        </w:numPr>
      </w:pPr>
      <w:r>
        <w:t>Biotech Companies must disclose in their annual and half-year reports details of R&amp;D activities including:</w:t>
      </w:r>
    </w:p>
    <w:p w:rsidR="002A38C9" w:rsidRDefault="00FF61CC">
      <w:pPr>
        <w:pStyle w:val="Compact"/>
        <w:numPr>
          <w:ilvl w:val="1"/>
          <w:numId w:val="12"/>
        </w:numPr>
      </w:pPr>
      <w:r w:rsidRPr="00C05457">
        <w:rPr>
          <w:noProof/>
        </w:rPr>
        <w:t>details</w:t>
      </w:r>
      <w:r>
        <w:t xml:space="preserve"> of the </w:t>
      </w:r>
      <w:r w:rsidRPr="00C05457">
        <w:rPr>
          <w:noProof/>
        </w:rPr>
        <w:t>key</w:t>
      </w:r>
      <w:r>
        <w:t xml:space="preserve"> stages of each of its Core Products under development to reach commercialisation and a general indication of the likely timeframe for it to </w:t>
      </w:r>
      <w:r w:rsidRPr="00C05457">
        <w:rPr>
          <w:noProof/>
        </w:rPr>
        <w:t>reach</w:t>
      </w:r>
      <w:r>
        <w:t xml:space="preserve"> </w:t>
      </w:r>
      <w:r w:rsidRPr="00C05457">
        <w:rPr>
          <w:noProof/>
        </w:rPr>
        <w:t>commercialisation</w:t>
      </w:r>
      <w:r>
        <w:t>;</w:t>
      </w:r>
    </w:p>
    <w:p w:rsidR="002A38C9" w:rsidRDefault="00FF61CC">
      <w:pPr>
        <w:pStyle w:val="Compact"/>
        <w:numPr>
          <w:ilvl w:val="1"/>
          <w:numId w:val="12"/>
        </w:numPr>
      </w:pPr>
      <w:r>
        <w:t>a summary of expenditure incurred on R&amp;D activities; and</w:t>
      </w:r>
    </w:p>
    <w:p w:rsidR="002A38C9" w:rsidRDefault="00FF61CC">
      <w:pPr>
        <w:pStyle w:val="Compact"/>
        <w:numPr>
          <w:ilvl w:val="1"/>
          <w:numId w:val="12"/>
        </w:numPr>
      </w:pPr>
      <w:r>
        <w:t xml:space="preserve">a prominently disclosed warning that a Core Product may not ultimately </w:t>
      </w:r>
      <w:r w:rsidRPr="00C05457">
        <w:rPr>
          <w:noProof/>
        </w:rPr>
        <w:t>be successfully developed</w:t>
      </w:r>
      <w:r>
        <w:t xml:space="preserve"> and marketed.</w:t>
      </w:r>
    </w:p>
    <w:p w:rsidR="002A38C9" w:rsidRDefault="00FF61CC">
      <w:pPr>
        <w:numPr>
          <w:ilvl w:val="0"/>
          <w:numId w:val="1"/>
        </w:numPr>
      </w:pPr>
      <w:r>
        <w:rPr>
          <w:b/>
        </w:rPr>
        <w:t>5.2 Delisting</w:t>
      </w:r>
    </w:p>
    <w:p w:rsidR="002A38C9" w:rsidRDefault="00FF61CC">
      <w:pPr>
        <w:numPr>
          <w:ilvl w:val="0"/>
          <w:numId w:val="1"/>
        </w:numPr>
      </w:pPr>
      <w:r>
        <w:t xml:space="preserve">The Exchange has the power to suspend dealings in the shares of a Biotech Company which does not maintain sufficient operations or assets as required by </w:t>
      </w:r>
      <w:r w:rsidRPr="00C05457">
        <w:rPr>
          <w:noProof/>
        </w:rPr>
        <w:t>LR13.24,</w:t>
      </w:r>
      <w:r>
        <w:t xml:space="preserve"> or may cancel its listing under LR6.01. The Exchange can also give a company up to 12 months to comply with LR13.24, after which its listing will </w:t>
      </w:r>
      <w:r w:rsidRPr="00C05457">
        <w:rPr>
          <w:noProof/>
        </w:rPr>
        <w:t>be cancelled</w:t>
      </w:r>
      <w:r>
        <w:t xml:space="preserve"> if it is still in breach (LR18A.09).</w:t>
      </w:r>
    </w:p>
    <w:p w:rsidR="002A38C9" w:rsidRDefault="00FF61CC">
      <w:pPr>
        <w:numPr>
          <w:ilvl w:val="0"/>
          <w:numId w:val="1"/>
        </w:numPr>
      </w:pPr>
      <w:r>
        <w:rPr>
          <w:b/>
        </w:rPr>
        <w:t>5.3 Prohibition on fundamental change in business</w:t>
      </w:r>
    </w:p>
    <w:p w:rsidR="002A38C9" w:rsidRDefault="00FF61CC">
      <w:pPr>
        <w:numPr>
          <w:ilvl w:val="0"/>
          <w:numId w:val="1"/>
        </w:numPr>
      </w:pPr>
      <w:r>
        <w:t xml:space="preserve">Listed Biotech Companies require the Exchange’s consent for any acquisition, disposal or other transaction or arrangement (or a series of such </w:t>
      </w:r>
      <w:r w:rsidRPr="00C05457">
        <w:rPr>
          <w:noProof/>
        </w:rPr>
        <w:t>transactions</w:t>
      </w:r>
      <w:r>
        <w:t>) that would result in a fundamental change to the company’s principal business activities as described in its listing document (LR18A.10).</w:t>
      </w:r>
    </w:p>
    <w:p w:rsidR="002A38C9" w:rsidRDefault="00FF61CC">
      <w:pPr>
        <w:numPr>
          <w:ilvl w:val="0"/>
          <w:numId w:val="1"/>
        </w:numPr>
      </w:pPr>
      <w:r>
        <w:rPr>
          <w:b/>
        </w:rPr>
        <w:t>5.4 Stock Marker</w:t>
      </w:r>
    </w:p>
    <w:p w:rsidR="002A38C9" w:rsidRDefault="00FF61CC">
      <w:pPr>
        <w:numPr>
          <w:ilvl w:val="0"/>
          <w:numId w:val="1"/>
        </w:numPr>
      </w:pPr>
      <w:r>
        <w:t>Stock names of listed Biotech Companies will have the marker “B” at the end of their name (LR18A.11).</w:t>
      </w:r>
    </w:p>
    <w:p w:rsidR="002A38C9" w:rsidRDefault="00FF61CC">
      <w:pPr>
        <w:numPr>
          <w:ilvl w:val="0"/>
          <w:numId w:val="1"/>
        </w:numPr>
      </w:pPr>
      <w:r>
        <w:rPr>
          <w:b/>
        </w:rPr>
        <w:t>5.5 Meeting the Main Board financial eligibility tests</w:t>
      </w:r>
    </w:p>
    <w:p w:rsidR="002A38C9" w:rsidRDefault="00FF61CC">
      <w:pPr>
        <w:numPr>
          <w:ilvl w:val="0"/>
          <w:numId w:val="1"/>
        </w:numPr>
      </w:pPr>
      <w:r>
        <w:t xml:space="preserve">Once a listed Biotech Company </w:t>
      </w:r>
      <w:r w:rsidRPr="00C05457">
        <w:rPr>
          <w:noProof/>
        </w:rPr>
        <w:t>is able to</w:t>
      </w:r>
      <w:r>
        <w:t xml:space="preserve"> satisfy the financial eligibility tests under LR 8.05, LR 18A.09 to LR18A.11 will cease to apply (i.e. sufficiency of operations, Exchange’s consent requirement for </w:t>
      </w:r>
      <w:r w:rsidRPr="00C05457">
        <w:rPr>
          <w:noProof/>
        </w:rPr>
        <w:t>material</w:t>
      </w:r>
      <w:r>
        <w:t xml:space="preserve"> change in business and stock marker requirement).</w:t>
      </w:r>
    </w:p>
    <w:p w:rsidR="002A38C9" w:rsidRDefault="00FF61CC">
      <w:pPr>
        <w:numPr>
          <w:ilvl w:val="0"/>
          <w:numId w:val="1"/>
        </w:numPr>
      </w:pPr>
      <w:r>
        <w:t xml:space="preserve">Biotech companies are a new sector for Hong Kong listings having </w:t>
      </w:r>
      <w:r w:rsidRPr="00C05457">
        <w:rPr>
          <w:noProof/>
        </w:rPr>
        <w:t>previously</w:t>
      </w:r>
      <w:r>
        <w:t xml:space="preserve"> </w:t>
      </w:r>
      <w:r w:rsidRPr="00C05457">
        <w:rPr>
          <w:noProof/>
        </w:rPr>
        <w:t>been prevented</w:t>
      </w:r>
      <w:r>
        <w:t xml:space="preserve"> from listing by the financial eligibility requirements for profits, revenue and cash flow. The first listings of Biotech companies are expected to occur as early as summer 2018 </w:t>
      </w:r>
      <w:r w:rsidRPr="00C05457">
        <w:rPr>
          <w:noProof/>
        </w:rPr>
        <w:t>and</w:t>
      </w:r>
      <w:r>
        <w:t xml:space="preserve"> there is already a pipeline of Biotech companies that have expressed an interest in listing in Hong Kong. Listing applications may be submitted from 30 April 2018.</w:t>
      </w:r>
    </w:p>
    <w:p w:rsidR="002A38C9" w:rsidRDefault="00FF61CC">
      <w:pPr>
        <w:pStyle w:val="FirstParagraph"/>
      </w:pPr>
      <w:r>
        <w:t> </w:t>
      </w:r>
    </w:p>
    <w:p w:rsidR="002A38C9" w:rsidRDefault="00484CAE">
      <w:r>
        <w:pict>
          <v:rect id="_x0000_i1025" style="width:0;height:1.5pt" o:hralign="center" o:hrstd="t" o:hr="t"/>
        </w:pict>
      </w:r>
    </w:p>
    <w:p w:rsidR="002A38C9" w:rsidRDefault="00484CAE">
      <w:pPr>
        <w:pStyle w:val="FirstParagraph"/>
      </w:pPr>
      <w:hyperlink w:anchor="_ftnref1">
        <w:r w:rsidR="00FF61CC">
          <w:t>[1]</w:t>
        </w:r>
      </w:hyperlink>
      <w:r w:rsidR="00FF61CC">
        <w:t xml:space="preserve">   HKEx. Consultation Paper - A Listing Regime for Companies from Emerging and Innovative Sectors. February 2018.</w:t>
      </w:r>
    </w:p>
    <w:p w:rsidR="002A38C9" w:rsidRDefault="00484CAE">
      <w:pPr>
        <w:pStyle w:val="BodyText"/>
      </w:pPr>
      <w:hyperlink w:anchor="_ftnref2">
        <w:r w:rsidR="00FF61CC">
          <w:t>[2]</w:t>
        </w:r>
      </w:hyperlink>
      <w:r w:rsidR="00FF61CC">
        <w:t xml:space="preserve">   SCMP. “</w:t>
      </w:r>
      <w:r w:rsidR="00FF61CC">
        <w:rPr>
          <w:i/>
        </w:rPr>
        <w:t xml:space="preserve">Hong Kong plans to overtake Nasdaq as </w:t>
      </w:r>
      <w:r w:rsidR="00FF61CC" w:rsidRPr="00C05457">
        <w:rPr>
          <w:i/>
          <w:noProof/>
        </w:rPr>
        <w:t>listing</w:t>
      </w:r>
      <w:r w:rsidR="00FF61CC">
        <w:rPr>
          <w:i/>
        </w:rPr>
        <w:t xml:space="preserve"> destination of choice for Chinese biotech firms”.</w:t>
      </w:r>
      <w:r w:rsidR="00FF61CC">
        <w:t xml:space="preserve"> 22 March 2018. </w:t>
      </w:r>
      <w:hyperlink r:id="rId12">
        <w:r w:rsidR="00FF61CC">
          <w:t>http://www.scmp.com/business/money/markets-investing/article/2138478/hong-kong-plans-overtake-nasdaq-listing-destination</w:t>
        </w:r>
      </w:hyperlink>
    </w:p>
    <w:p w:rsidR="002A38C9" w:rsidRDefault="00484CAE">
      <w:pPr>
        <w:pStyle w:val="BodyText"/>
      </w:pPr>
      <w:hyperlink w:anchor="_ftnref3">
        <w:r w:rsidR="00FF61CC">
          <w:t>[3]</w:t>
        </w:r>
      </w:hyperlink>
      <w:r w:rsidR="00FF61CC">
        <w:t xml:space="preserve"> </w:t>
      </w:r>
      <w:hyperlink r:id="rId13">
        <w:r w:rsidR="00FF61CC">
          <w:t>https://www.ft.com/content/a6593a06-36e0-11e8-8eee-e06bde01c544</w:t>
        </w:r>
      </w:hyperlink>
    </w:p>
    <w:p w:rsidR="002A38C9" w:rsidRDefault="00484CAE">
      <w:pPr>
        <w:pStyle w:val="BodyText"/>
      </w:pPr>
      <w:hyperlink w:anchor="_ftnref4">
        <w:r w:rsidR="00FF61CC">
          <w:t>[4]</w:t>
        </w:r>
      </w:hyperlink>
      <w:r w:rsidR="00FF61CC">
        <w:t xml:space="preserve">The profits test, market </w:t>
      </w:r>
      <w:r w:rsidR="00FF61CC" w:rsidRPr="00C05457">
        <w:rPr>
          <w:noProof/>
        </w:rPr>
        <w:t>capitalization</w:t>
      </w:r>
      <w:r w:rsidR="00FF61CC">
        <w:t xml:space="preserve">/revenue/cash flow test or the market </w:t>
      </w:r>
      <w:r w:rsidR="00FF61CC" w:rsidRPr="00C05457">
        <w:rPr>
          <w:noProof/>
        </w:rPr>
        <w:t>capitalization</w:t>
      </w:r>
      <w:r w:rsidR="00FF61CC">
        <w:t>/revenue test under LR8.05.</w:t>
      </w:r>
    </w:p>
    <w:p w:rsidR="002A38C9" w:rsidRDefault="00FF61CC">
      <w:pPr>
        <w:pStyle w:val="DisclaimerBold"/>
      </w:pPr>
      <w:r>
        <w:t>This newsletter is for information purposes only.</w:t>
      </w:r>
    </w:p>
    <w:p w:rsidR="002A38C9" w:rsidRDefault="00FF61CC">
      <w:pPr>
        <w:pStyle w:val="Disclaimer"/>
      </w:pPr>
      <w:r>
        <w:t xml:space="preserve">Its contents do not constitute legal advice </w:t>
      </w:r>
      <w:r w:rsidRPr="00C05457">
        <w:rPr>
          <w:noProof/>
        </w:rPr>
        <w:t>and</w:t>
      </w:r>
      <w:r>
        <w:t xml:space="preserve"> it should  not be regarded as a substitute for detailed advice  in individual cases.</w:t>
      </w:r>
    </w:p>
    <w:p w:rsidR="002A38C9" w:rsidRDefault="00FF61CC">
      <w:pPr>
        <w:pStyle w:val="Disclaimer"/>
      </w:pPr>
      <w:r>
        <w:t>Transmission of this information is not intended to create and receipt does not constitute a lawyer-client relationship between Charltons and the user or browser.</w:t>
      </w:r>
    </w:p>
    <w:p w:rsidR="002A38C9" w:rsidRDefault="00FF61CC">
      <w:pPr>
        <w:pStyle w:val="Disclaimer"/>
      </w:pPr>
      <w:r>
        <w:t>Charltons is not responsible for any third party content which can be accessed through the website.</w:t>
      </w:r>
    </w:p>
    <w:p w:rsidR="002A38C9" w:rsidRDefault="00FF61CC">
      <w:pPr>
        <w:pStyle w:val="Disclaimer"/>
      </w:pPr>
      <w:r>
        <w:t xml:space="preserve">If you do not wish to receive this newsletter please let us know by emailing us at  </w:t>
      </w:r>
      <w:hyperlink r:id="rId14">
        <w:r>
          <w:t>unsubscribe@charltonslaw.com</w:t>
        </w:r>
      </w:hyperlink>
    </w:p>
    <w:p w:rsidR="002A38C9" w:rsidRDefault="00FF61CC">
      <w:pPr>
        <w:pStyle w:val="BlackStrips"/>
      </w:pPr>
      <w:r>
        <w:t>Charltons - Hong Kong Law - 25 April 2018</w:t>
      </w:r>
    </w:p>
    <w:sectPr w:rsidR="002A38C9">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4840" w:rsidRDefault="00FF61CC">
      <w:pPr>
        <w:spacing w:after="0"/>
      </w:pPr>
      <w:r>
        <w:separator/>
      </w:r>
    </w:p>
  </w:endnote>
  <w:endnote w:type="continuationSeparator" w:id="0">
    <w:p w:rsidR="00974840" w:rsidRDefault="00FF61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8C9" w:rsidRDefault="00FF61CC">
      <w:r>
        <w:separator/>
      </w:r>
    </w:p>
  </w:footnote>
  <w:footnote w:type="continuationSeparator" w:id="0">
    <w:p w:rsidR="002A38C9" w:rsidRDefault="00FF61CC">
      <w:r>
        <w:continuationSeparator/>
      </w:r>
    </w:p>
  </w:footnote>
  <w:footnote w:id="1">
    <w:p w:rsidR="00C05457" w:rsidRPr="00BE05F6" w:rsidRDefault="00C05457" w:rsidP="00C05457">
      <w:pPr>
        <w:pStyle w:val="FootnoteText"/>
        <w:ind w:left="180" w:hanging="180"/>
      </w:pPr>
      <w:r>
        <w:rPr>
          <w:rStyle w:val="FootnoteReference"/>
        </w:rPr>
        <w:footnoteRef/>
      </w:r>
      <w:r>
        <w:t xml:space="preserve"> </w:t>
      </w:r>
      <w:r>
        <w:tab/>
        <w:t>SCMP. “</w:t>
      </w:r>
      <w:r>
        <w:rPr>
          <w:i/>
        </w:rPr>
        <w:t xml:space="preserve">Hong Kong plans to overtake Nasdaq as listing destination of choice for Chinese biotech firms”. </w:t>
      </w:r>
      <w:r>
        <w:t xml:space="preserve">22 March 2018. </w:t>
      </w:r>
      <w:hyperlink r:id="rId1" w:history="1">
        <w:r w:rsidRPr="00871B90">
          <w:rPr>
            <w:rStyle w:val="Hyperlink"/>
          </w:rPr>
          <w:t>http://www.scmp.com/business/money/markets-investing/article/2138478/hong-kong-plans-overtake-nasdaq-listing-destination</w:t>
        </w:r>
      </w:hyperlink>
    </w:p>
  </w:footnote>
  <w:footnote w:id="2">
    <w:p w:rsidR="00C05457" w:rsidRPr="00BE05F6" w:rsidRDefault="00C05457" w:rsidP="00C05457">
      <w:pPr>
        <w:pStyle w:val="FootnoteText"/>
      </w:pPr>
      <w:r>
        <w:rPr>
          <w:rStyle w:val="FootnoteReference"/>
        </w:rPr>
        <w:footnoteRef/>
      </w:r>
      <w:r>
        <w:t xml:space="preserve"> </w:t>
      </w:r>
      <w:hyperlink r:id="rId2" w:history="1">
        <w:r w:rsidRPr="00927508">
          <w:rPr>
            <w:rStyle w:val="Hyperlink"/>
          </w:rPr>
          <w:t>https://www.ft.com/content/a6593a06-36e0-11e8-8eee-e06bde01c544</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C83771"/>
    <w:multiLevelType w:val="multilevel"/>
    <w:tmpl w:val="4FEC8880"/>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1">
    <w:nsid w:val="D6842EC9"/>
    <w:multiLevelType w:val="multilevel"/>
    <w:tmpl w:val="36A82674"/>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lowerRoman"/>
      <w:lvlText w:val="%8."/>
      <w:lvlJc w:val="left"/>
      <w:pPr>
        <w:tabs>
          <w:tab w:val="num" w:pos="5040"/>
        </w:tabs>
        <w:ind w:left="5520" w:hanging="480"/>
      </w:pPr>
    </w:lvl>
    <w:lvl w:ilvl="8">
      <w:start w:val="1"/>
      <w:numFmt w:val="lowerRoman"/>
      <w:lvlText w:val="%9."/>
      <w:lvlJc w:val="left"/>
      <w:pPr>
        <w:tabs>
          <w:tab w:val="num" w:pos="5760"/>
        </w:tabs>
        <w:ind w:left="6240" w:hanging="480"/>
      </w:pPr>
    </w:lvl>
  </w:abstractNum>
  <w:abstractNum w:abstractNumId="2">
    <w:nsid w:val="DE7770B3"/>
    <w:multiLevelType w:val="multilevel"/>
    <w:tmpl w:val="3EFEEE0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3">
    <w:nsid w:val="59D54C37"/>
    <w:multiLevelType w:val="multilevel"/>
    <w:tmpl w:val="4992C2B6"/>
    <w:lvl w:ilvl="0">
      <w:start w:val="1"/>
      <w:numFmt w:val="lowerRoman"/>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lowerLetter"/>
      <w:lvlText w:val="%9."/>
      <w:lvlJc w:val="left"/>
      <w:pPr>
        <w:tabs>
          <w:tab w:val="num" w:pos="5760"/>
        </w:tabs>
        <w:ind w:left="6240" w:hanging="4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0szQ0MLY0MDGzMDS2tDRR0lEKTi0uzszPAykwqgUArzQkMSwAAAA="/>
  </w:docVars>
  <w:rsids>
    <w:rsidRoot w:val="00590D07"/>
    <w:rsid w:val="00011C8B"/>
    <w:rsid w:val="002A38C9"/>
    <w:rsid w:val="00433864"/>
    <w:rsid w:val="00484CAE"/>
    <w:rsid w:val="004E29B3"/>
    <w:rsid w:val="00590D07"/>
    <w:rsid w:val="00784D58"/>
    <w:rsid w:val="008D6863"/>
    <w:rsid w:val="00974840"/>
    <w:rsid w:val="00B86B75"/>
    <w:rsid w:val="00BC48D5"/>
    <w:rsid w:val="00C05457"/>
    <w:rsid w:val="00C36279"/>
    <w:rsid w:val="00E315A3"/>
    <w:rsid w:val="00FF61C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267">
    <w:lsdException w:name="footnote text" w:uiPriority="99"/>
    <w:lsdException w:name="footnote reference" w:uiPriority="99"/>
    <w:lsdException w:name="Hyperlink" w:uiPriority="99"/>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link w:val="FootnoteTextChar"/>
    <w:uiPriority w:val="9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character" w:customStyle="1" w:styleId="FootnoteTextChar">
    <w:name w:val="Footnote Text Char"/>
    <w:basedOn w:val="DefaultParagraphFont"/>
    <w:link w:val="FootnoteText"/>
    <w:uiPriority w:val="99"/>
    <w:rsid w:val="00C05457"/>
    <w:rPr>
      <w:color w:val="00000A"/>
      <w:sz w:val="24"/>
    </w:rPr>
  </w:style>
  <w:style w:type="character" w:styleId="FootnoteReference">
    <w:name w:val="footnote reference"/>
    <w:basedOn w:val="DefaultParagraphFont"/>
    <w:uiPriority w:val="99"/>
    <w:unhideWhenUsed/>
    <w:rsid w:val="00C05457"/>
    <w:rPr>
      <w:vertAlign w:val="superscript"/>
    </w:rPr>
  </w:style>
  <w:style w:type="character" w:styleId="Hyperlink">
    <w:name w:val="Hyperlink"/>
    <w:basedOn w:val="DefaultParagraphFont"/>
    <w:uiPriority w:val="99"/>
    <w:unhideWhenUsed/>
    <w:rsid w:val="00C05457"/>
    <w:rPr>
      <w:color w:val="0000FF"/>
      <w:u w:val="single"/>
    </w:rPr>
  </w:style>
  <w:style w:type="paragraph" w:styleId="ListParagraph">
    <w:name w:val="List Paragraph"/>
    <w:basedOn w:val="Normal"/>
    <w:rsid w:val="00C0545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rltonslaw.com/new-rules-for-listing-biotech-companies-on-the-hong-kong-stock-exchange" TargetMode="External"/><Relationship Id="rId13" Type="http://schemas.openxmlformats.org/officeDocument/2006/relationships/hyperlink" Target="https://www.ft.com/content/a6593a06-36e0-11e8-8eee-e06bde01c544"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cmp.com/business/money/markets-investing/article/2138478/hong-kong-plans-overtake-nasdaq-listing-destinatio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charltonslaw.com/consultation-conclusions-on-wvr-listing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kex.com.hk/-/media/HKEX-Market/News/Market-Consultations/2016-Present/February-2018-Emerging-and-Innovative-Sectors/Consultation-Paper/cp201802.pdf" TargetMode="External"/><Relationship Id="rId4" Type="http://schemas.openxmlformats.org/officeDocument/2006/relationships/settings" Target="settings.xml"/><Relationship Id="rId9" Type="http://schemas.openxmlformats.org/officeDocument/2006/relationships/hyperlink" Target="http://www.hkex.com.hk/-/media/HKEX-Market/News/Market-Consultations/2016-Present/February-2018-Emerging-and-Innovative-Sectors/Conclusions-(April-2018)/cp201802cc.pdf" TargetMode="External"/><Relationship Id="rId14" Type="http://schemas.openxmlformats.org/officeDocument/2006/relationships/hyperlink" Target="mailto:unsubscribe@charltonslaw.com?subject=unsubscribe%20-Hong%20Kong%20Law-"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ft.com/content/a6593a06-36e0-11e8-8eee-e06bde01c544" TargetMode="External"/><Relationship Id="rId1" Type="http://schemas.openxmlformats.org/officeDocument/2006/relationships/hyperlink" Target="http://www.scmp.com/business/money/markets-investing/article/2138478/hong-kong-plans-overtake-nasdaq-listing-destin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8</Pages>
  <Words>3250</Words>
  <Characters>18531</Characters>
  <Application>Microsoft Office Word</Application>
  <DocSecurity>0</DocSecurity>
  <Lines>154</Lines>
  <Paragraphs>43</Paragraphs>
  <ScaleCrop>false</ScaleCrop>
  <Company>Microsoft</Company>
  <LinksUpToDate>false</LinksUpToDate>
  <CharactersWithSpaces>21738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5</cp:revision>
  <dcterms:created xsi:type="dcterms:W3CDTF">2018-04-25T04:23:00Z</dcterms:created>
  <dcterms:modified xsi:type="dcterms:W3CDTF">2018-04-25T04:27:00Z</dcterms:modified>
</cp:coreProperties>
</file>