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BlackStrips"/>
      </w:pPr>
      <w:r>
        <w:t>Charltons - Hong Kong Law - 11 April 2018</w:t>
      </w:r>
    </w:p>
    <w:p>
      <w:pPr>
        <w:pStyle w:val="ReadOnline"/>
      </w:pPr>
      <w:hyperlink r:id="rId9">
        <w:r>
          <w:rPr/>
          <w:t>online version</w:t>
        </w:r>
      </w:hyperlink>
    </w:p>
    <w:p>
      <w:pPr>
        <w:pStyle w:val="Title"/>
      </w:pPr>
      <w:r>
        <w:t>SFC and CSRC increase daily quotas for Mainland-Hong Kong stock connect</w:t>
      </w:r>
    </w:p>
    <w:p>
      <w:pPr>
        <w:pStyle w:val="FirstParagraph"/>
      </w:pPr>
      <w:r>
        <w:rPr>
          <w:b/>
        </w:rPr>
        <w:t xml:space="preserve">China Securities Regulatory Commission and the Hong Kong Securities and Futures Commission increase daily quotas for Mainland-Hong Kong stock connect</w:t>
      </w:r>
    </w:p>
    <w:p>
      <w:pPr>
        <w:pStyle w:val="TextBody"/>
      </w:pPr>
      <w:r>
        <w:t xml:space="preserve">On 11 April 2018, the China Securities Regulatory Commission and the Hong Kong Securities and Futures Commission</w:t>
      </w:r>
      <w:r>
        <w:t xml:space="preserve"> </w:t>
      </w:r>
      <w:hyperlink r:id="rId21">
        <w:r>
          <w:rPr>
            <w:rStyle w:val="Hyperlink"/>
          </w:rPr>
          <w:t xml:space="preserve">announced</w:t>
        </w:r>
      </w:hyperlink>
      <w:r>
        <w:t xml:space="preserve"> </w:t>
      </w:r>
      <w:r>
        <w:t xml:space="preserve">an increase of the daily quotas for</w:t>
      </w:r>
      <w:r>
        <w:t xml:space="preserve"> </w:t>
      </w:r>
      <w:hyperlink r:id="rId22">
        <w:r>
          <w:rPr>
            <w:rStyle w:val="Hyperlink"/>
          </w:rPr>
          <w:t xml:space="preserve">Shanghai-Hong Kong Stock Connect</w:t>
        </w:r>
      </w:hyperlink>
      <w:r>
        <w:t xml:space="preserve"> </w:t>
      </w:r>
      <w:r>
        <w:t xml:space="preserve">and</w:t>
      </w:r>
      <w:r>
        <w:t xml:space="preserve"> </w:t>
      </w:r>
      <w:hyperlink r:id="rId23">
        <w:r>
          <w:rPr>
            <w:rStyle w:val="Hyperlink"/>
          </w:rPr>
          <w:t xml:space="preserve">Shenzhen-Hong Kong Stock Connect</w:t>
        </w:r>
      </w:hyperlink>
      <w:r>
        <w:t xml:space="preserve">.</w:t>
      </w:r>
    </w:p>
    <w:p>
      <w:pPr>
        <w:pStyle w:val="TextBody"/>
      </w:pPr>
      <w:r>
        <w:t xml:space="preserve">The new daily quotas will take effect on</w:t>
      </w:r>
      <w:r>
        <w:t xml:space="preserve"> </w:t>
      </w:r>
      <w:r>
        <w:rPr>
          <w:b/>
        </w:rPr>
        <w:t xml:space="preserve">1 May 2018</w:t>
      </w:r>
      <w:r>
        <w:t xml:space="preserve"> </w:t>
      </w:r>
      <w:r>
        <w:t xml:space="preserve">and will increase the daily quota for each of the Shanghai-Hong Kong and Shenzhen-Hong Kong Stock Connect schemes to:</w:t>
      </w:r>
    </w:p>
    <w:p>
      <w:pPr>
        <w:pStyle w:val="Compact"/>
        <w:numPr>
          <w:numId w:val="1001"/>
          <w:ilvl w:val="0"/>
        </w:numPr>
      </w:pPr>
      <w:r>
        <w:t xml:space="preserve">For Northbound trading  –</w:t>
      </w:r>
      <w:r>
        <w:t xml:space="preserve"> </w:t>
      </w:r>
      <w:r>
        <w:rPr>
          <w:b/>
        </w:rPr>
        <w:t xml:space="preserve">RMB 52</w:t>
      </w:r>
      <w:r>
        <w:t xml:space="preserve"> </w:t>
      </w:r>
      <w:r>
        <w:t xml:space="preserve">billion each from the current RMB 13 billion; and</w:t>
      </w:r>
    </w:p>
    <w:p>
      <w:pPr>
        <w:pStyle w:val="Compact"/>
        <w:numPr>
          <w:numId w:val="1001"/>
          <w:ilvl w:val="0"/>
        </w:numPr>
      </w:pPr>
      <w:r>
        <w:t xml:space="preserve">For Southbound trading  –</w:t>
      </w:r>
      <w:r>
        <w:t xml:space="preserve"> </w:t>
      </w:r>
      <w:r>
        <w:rPr>
          <w:b/>
        </w:rPr>
        <w:t xml:space="preserve">RMB 42</w:t>
      </w:r>
      <w:r>
        <w:t xml:space="preserve"> </w:t>
      </w:r>
      <w:r>
        <w:t xml:space="preserve">billion each from the current RMB 10.5 billion.</w:t>
      </w:r>
    </w:p>
    <w:p>
      <w:pPr>
        <w:pStyle w:val="FirstParagraph"/>
      </w:pPr>
      <w:r>
        <w:t xml:space="preserve">For more information about Shanghai-Hong Kong Stock Connect and Shenzhen-Hong Kong Stock Connect, please refer to the dedicated page on our website</w:t>
      </w:r>
      <w:r>
        <w:t xml:space="preserve"> </w:t>
      </w:r>
      <w:hyperlink r:id="rId24">
        <w:r>
          <w:rPr>
            <w:rStyle w:val="Hyperlink"/>
          </w:rPr>
          <w:t xml:space="preserve">here</w:t>
        </w:r>
      </w:hyperlink>
      <w:r>
        <w:t xml:space="preserve">.</w:t>
      </w:r>
    </w:p>
    <w:p>
      <w:pPr>
        <w:pStyle w:val="DisclaimerBold"/>
      </w:pPr>
      <w:r>
        <w:t>This newsletter is for information purposes only.</w:t>
      </w:r>
    </w:p>
    <w:p>
      <w:pPr>
        <w:pStyle w:val="Disclaimer"/>
      </w:pPr>
      <w:r>
        <w:t>Its contents do not constitute legal advice and it should  not be regarded as a substitute for detailed advice  in individual cases.</w:t>
      </w:r>
    </w:p>
    <w:p>
      <w:pPr>
        <w:pStyle w:val="Disclaimer"/>
      </w:pPr>
      <w:r>
        <w:t>Transmission of this information is not intended to create and receipt does not constitute a lawyer-client relationship between Charltons and the user or browser.</w:t>
      </w:r>
    </w:p>
    <w:p>
      <w:pPr>
        <w:pStyle w:val="Disclaimer"/>
      </w:pPr>
      <w:r>
        <w:t>Charltons is not responsible for any third party content which can be accessed through the website.</w:t>
      </w:r>
    </w:p>
    <w:p>
      <w:pPr>
        <w:pStyle w:val="Disclaimer"/>
      </w:pPr>
      <w:r>
        <w:t xml:space="preserve">If you do not wish to receive this newsletter please let us know by emailing us at  </w:t>
      </w:r>
      <w:hyperlink r:id="rId10">
        <w:r>
          <w:rPr/>
          <w:t>unsubscribe@charltonslaw.com</w:t>
        </w:r>
      </w:hyperlink>
    </w:p>
    <w:p>
      <w:pPr>
        <w:pStyle w:val="BlackStrips"/>
      </w:pPr>
      <w:r>
        <w:t>Charltons - Hong Kong Law - 11 April 2018</w:t>
      </w:r>
    </w:p>
    <w:sectPr>
      <w:type w:val="nextPage"/>
      <w:pgSz w:w="11906" w:h="16838"/>
      <w:pgMar w:left="864" w:right="864" w:header="0" w:top="864" w:footer="0" w:bottom="864" w:gutter="0"/>
      <w:pgNumType w:fmt="decimal"/>
      <w:formProt w:val="false"/>
      <w:textDirection w:val="lrTb"/>
      <w:docGrid w:type="default" w:linePitch="240" w:charSpace="4294961151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b487fe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26a65b6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00000A"/>
      <w:sz w:val="24"/>
      <w:szCs w:val="24"/>
      <w:lang w:val="en-US" w:eastAsia="en-US" w:bidi="ar-SA"/>
    </w:rPr>
  </w:style>
  <w:style w:type="paragraph" w:styleId="Heading1">
    <w:name w:val="Heading 1"/>
    <w:basedOn w:val="Normal"/>
    <w:uiPriority w:val="9"/>
    <w:qFormat/>
    <w:pPr>
      <w:keepNext/>
      <w:keepLines/>
      <w:bidi w:val="0"/>
      <w:spacing w:before="480" w:after="0"/>
      <w:jc w:val="left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C0143C" w:themeShade="b5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keepNext/>
      <w:keepLines/>
      <w:bidi w:val="0"/>
      <w:spacing w:before="200" w:after="0"/>
      <w:jc w:val="left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C0143C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keepNext/>
      <w:keepLines/>
      <w:bidi w:val="0"/>
      <w:spacing w:before="200" w:after="0"/>
      <w:jc w:val="left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C0143C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keepNext/>
      <w:keepLines/>
      <w:bidi w:val="0"/>
      <w:spacing w:before="200" w:after="0"/>
      <w:jc w:val="left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color w:val="C0143C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keepNext/>
      <w:keepLines/>
      <w:bidi w:val="0"/>
      <w:spacing w:before="200" w:after="0"/>
      <w:jc w:val="left"/>
      <w:outlineLvl w:val="4"/>
    </w:pPr>
    <w:rPr>
      <w:rFonts w:ascii="Calibri" w:hAnsi="Calibri" w:eastAsia="" w:cs="" w:asciiTheme="majorHAnsi" w:cstheme="majorBidi" w:eastAsiaTheme="majorEastAsia" w:hAnsiTheme="majorHAnsi"/>
      <w:i/>
      <w:iCs/>
      <w:color w:val="C0143C"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/>
      <w:keepLines/>
      <w:bidi w:val="0"/>
      <w:spacing w:before="200" w:after="0"/>
      <w:jc w:val="left"/>
      <w:outlineLvl w:val="5"/>
    </w:pPr>
    <w:rPr>
      <w:rFonts w:ascii="Calibri" w:hAnsi="Calibri" w:eastAsia="" w:cs="" w:asciiTheme="majorHAnsi" w:cstheme="majorBidi" w:eastAsiaTheme="majorEastAsia" w:hAnsiTheme="majorHAnsi"/>
      <w:color w:val="C0143C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Anchor">
    <w:name w:val="Footnote Anchor"/>
    <w:basedOn w:val="BodyTextChar"/>
    <w:rPr>
      <w:vertAlign w:val="superscript"/>
    </w:rPr>
  </w:style>
  <w:style w:type="character" w:styleId="InternetLink">
    <w:name w:val="Internet Link"/>
    <w:basedOn w:val="BodyTextChar"/>
    <w:rPr>
      <w:color w:val="C0143C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link w:val="BodyTextChar"/>
    <w:qFormat/>
    <w:pPr>
      <w:bidi w:val="0"/>
      <w:spacing w:before="180" w:after="180"/>
      <w:jc w:val="both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irstParagraph" w:customStyle="1">
    <w:name w:val="First Paragraph"/>
    <w:basedOn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qFormat/>
    <w:pPr>
      <w:keepNext/>
      <w:keepLines/>
      <w:bidi w:val="0"/>
      <w:spacing w:before="480" w:after="240"/>
      <w:jc w:val="left"/>
    </w:pPr>
    <w:rPr>
      <w:rFonts w:ascii="Calibri" w:hAnsi="Calibri" w:eastAsia="" w:cs="" w:asciiTheme="majorHAnsi" w:cstheme="majorBidi" w:eastAsiaTheme="majorEastAsia" w:hAnsiTheme="majorHAnsi"/>
      <w:b/>
      <w:bCs/>
      <w:color w:val="C0143C" w:themeShade="b5"/>
      <w:sz w:val="36"/>
      <w:szCs w:val="36"/>
    </w:rPr>
  </w:style>
  <w:style w:type="paragraph" w:styleId="Subtitle">
    <w:name w:val="Subtitle"/>
    <w:basedOn w:val="Title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qFormat/>
    <w:pPr>
      <w:keepNext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sz w:val="24"/>
      <w:szCs w:val="24"/>
      <w:lang w:val="en-US" w:eastAsia="en-US" w:bidi="ar-SA"/>
    </w:rPr>
  </w:style>
  <w:style w:type="paragraph" w:styleId="Date">
    <w:name w:val="Date"/>
    <w:qFormat/>
    <w:pPr>
      <w:keepNext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uiPriority w:val="9"/>
    <w:unhideWhenUsed/>
    <w:qFormat/>
    <w:pPr>
      <w:spacing w:before="100" w:after="100"/>
      <w:ind w:hanging="0"/>
    </w:pPr>
    <w:rPr>
      <w:rFonts w:ascii="Calibri" w:hAnsi="Calibri" w:eastAsia="" w:cs="" w:asciiTheme="majorHAnsi" w:cstheme="majorBidi" w:eastAsiaTheme="majorEastAsia" w:hAnsiTheme="majorHAnsi"/>
      <w:bCs/>
      <w:sz w:val="20"/>
      <w:szCs w:val="20"/>
    </w:rPr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qFormat/>
    <w:pPr>
      <w:keepNext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FigurewithCaption" w:customStyle="1">
    <w:name w:val="Figure with Caption"/>
    <w:basedOn w:val="Figure"/>
    <w:qFormat/>
    <w:pPr>
      <w:keepNext/>
    </w:pPr>
    <w:rPr/>
  </w:style>
  <w:style w:type="paragraph" w:styleId="TOCHeading">
    <w:name w:val="TOC Heading"/>
    <w:basedOn w:val="Heading1"/>
    <w:uiPriority w:val="39"/>
    <w:unhideWhenUsed/>
    <w:qFormat/>
    <w:pPr>
      <w:bidi w:val="0"/>
      <w:spacing w:lineRule="auto" w:line="259" w:before="240" w:after="0"/>
      <w:jc w:val="left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C0143C" w:themeShade="bf"/>
    </w:rPr>
  </w:style>
  <w:style w:type="paragraph" w:styleId="Disclaimer">
    <w:name w:val="Disclaimer"/>
    <w:basedOn w:val="Normal"/>
    <w:qFormat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fill="DDDDDD"/>
      <w:bidi w:val="0"/>
      <w:spacing w:before="101" w:after="101"/>
      <w:jc w:val="both"/>
    </w:pPr>
    <w:rPr/>
  </w:style>
  <w:style w:type="paragraph" w:styleId="BlackStrips">
    <w:name w:val="Black Strips"/>
    <w:basedOn w:val="Normal"/>
    <w:qFormat/>
    <w:pPr>
      <w:shd w:val="clear" w:fill="000000"/>
      <w:bidi w:val="0"/>
      <w:jc w:val="center"/>
    </w:pPr>
    <w:rPr>
      <w:color w:val="FFFFFF"/>
    </w:rPr>
  </w:style>
  <w:style w:type="paragraph" w:styleId="DisclaimerBold">
    <w:name w:val="Disclaimer Bold"/>
    <w:basedOn w:val="Disclaimer"/>
    <w:qFormat/>
    <w:pPr>
      <w:shd w:val="clear" w:fill="DDDDDD"/>
      <w:bidi w:val="0"/>
      <w:jc w:val="left"/>
    </w:pPr>
    <w:rPr>
      <w:b/>
    </w:rPr>
  </w:style>
  <w:style w:type="paragraph" w:styleId="ReadOnline">
    <w:name w:val="Read Online"/>
    <w:basedOn w:val="Normal"/>
    <w:qFormat/>
    <w:pPr>
      <w:bidi w:val="0"/>
      <w:jc w:val="center"/>
    </w:pPr>
    <w:rPr>
      <w:sz w:val="28"/>
      <w:u w:val="single"/>
    </w:rPr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comments" Target="comments.xml"/><Relationship Id="rId22" Type="http://schemas.openxmlformats.org/officeDocument/2006/relationships/hyperlink" Target="http://www.sfc.hk/edistributionWeb/gateway/EN/news-and-announcements/news/doc?refNo=14PR137" TargetMode="External"/><Relationship Id="rId23" Type="http://schemas.openxmlformats.org/officeDocument/2006/relationships/hyperlink" Target="http://www.sfc.hk/edistributionWeb/gateway/EN/news-and-announcements/news/doc?refNo=16PR127" TargetMode="External"/><Relationship Id="rId21" Type="http://schemas.openxmlformats.org/officeDocument/2006/relationships/hyperlink" Target="http://www.sfc.hk/web/EN/news-and-announcements/policy-statements-and-announcements/joint-announcement-of-the-csrc-and-the-hk-sfc.html" TargetMode="External"/><Relationship Id="rId24" Type="http://schemas.openxmlformats.org/officeDocument/2006/relationships/hyperlink" Target="https://www.charltonslaw.com/hong-kong-law/shanghai-hong-kong-stock-connect-shenzhen-hong-kong-stock-connect-update/" TargetMode="External"/><Relationship Id="rId9" Type="http://schemas.openxmlformats.org/officeDocument/2006/relationships/hyperlink" Target="https://www.charltonslaw.com/sfc-and-csrc-increase-daily-quotas-for-mainland-hong-kong-stock-connect" TargetMode="External"/><Relationship Id="rId10" Type="http://schemas.openxmlformats.org/officeDocument/2006/relationships/hyperlink" Target="mailto:unsubscribe@charltonslaw.com?subject=unsubscribe -Hong Kong Law-" TargetMode="External"/></Relationships>
</file>

<file path=word/_rels/footnotes.xml.rels><?xml version='1.0' encoding='UTF-8' standalone='yes'?>
<Relationships xmlns="http://schemas.openxmlformats.org/package/2006/relationships"><Relationship Id="rId22" Type="http://schemas.openxmlformats.org/officeDocument/2006/relationships/hyperlink" Target="http://www.sfc.hk/edistributionWeb/gateway/EN/news-and-announcements/news/doc?refNo=14PR137" TargetMode="External"/><Relationship Id="rId23" Type="http://schemas.openxmlformats.org/officeDocument/2006/relationships/hyperlink" Target="http://www.sfc.hk/edistributionWeb/gateway/EN/news-and-announcements/news/doc?refNo=16PR127" TargetMode="External"/><Relationship Id="rId21" Type="http://schemas.openxmlformats.org/officeDocument/2006/relationships/hyperlink" Target="http://www.sfc.hk/web/EN/news-and-announcements/policy-statements-and-announcements/joint-announcement-of-the-csrc-and-the-hk-sfc.html" TargetMode="External"/><Relationship Id="rId24" Type="http://schemas.openxmlformats.org/officeDocument/2006/relationships/hyperlink" Target="https://www.charltonslaw.com/hong-kong-law/shanghai-hong-kong-stock-connect-shenzhen-hong-kong-stock-connect-upd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LibreOffice/5.3.2.2$MacOSX_X86_64 LibreOffice_project/6cd4f1ef626f15116896b1d8e1398b56da0d0ee1</Application>
  <Pages>1</Pages>
  <Words>2</Words>
  <Characters>11</Characters>
  <CharactersWithSpaces>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2018-04-11T09:37:41Z</dcterms:created>
  <dcterms:modified xsi:type="dcterms:W3CDTF">2018-04-11T09:37:41Z</dcterms:modified>
</cp:coreProperties>
</file>