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833" w:rsidRPr="00294267" w:rsidRDefault="001D5833" w:rsidP="001D5833">
      <w:pPr>
        <w:snapToGrid w:val="0"/>
        <w:spacing w:after="0" w:line="240" w:lineRule="auto"/>
        <w:jc w:val="both"/>
        <w:rPr>
          <w:b/>
          <w:color w:val="7F7F7F"/>
          <w:sz w:val="30"/>
          <w:szCs w:val="30"/>
          <w:lang w:val="x-none"/>
        </w:rPr>
      </w:pPr>
    </w:p>
    <w:p w:rsidR="001D5833" w:rsidRPr="00294267" w:rsidRDefault="001D5833" w:rsidP="001D5833">
      <w:pPr>
        <w:snapToGrid w:val="0"/>
        <w:spacing w:after="0" w:line="240" w:lineRule="auto"/>
        <w:jc w:val="both"/>
        <w:rPr>
          <w:b/>
          <w:color w:val="7F7F7F"/>
          <w:sz w:val="30"/>
          <w:szCs w:val="30"/>
          <w:lang w:val="x-none"/>
        </w:rPr>
      </w:pPr>
    </w:p>
    <w:p w:rsidR="001D5833" w:rsidRDefault="001D5833" w:rsidP="001D5833">
      <w:pPr>
        <w:snapToGrid w:val="0"/>
        <w:spacing w:after="0" w:line="240" w:lineRule="auto"/>
        <w:jc w:val="both"/>
        <w:rPr>
          <w:b/>
          <w:color w:val="7F7F7F"/>
          <w:sz w:val="30"/>
          <w:szCs w:val="30"/>
          <w:lang w:val="en-US"/>
        </w:rPr>
      </w:pPr>
    </w:p>
    <w:p w:rsidR="001D5833" w:rsidRDefault="001D5833" w:rsidP="001D5833">
      <w:pPr>
        <w:snapToGrid w:val="0"/>
        <w:spacing w:after="0" w:line="240" w:lineRule="auto"/>
        <w:jc w:val="both"/>
        <w:rPr>
          <w:b/>
          <w:color w:val="7F7F7F"/>
          <w:sz w:val="30"/>
          <w:szCs w:val="30"/>
          <w:lang w:val="en-US"/>
        </w:rPr>
      </w:pPr>
    </w:p>
    <w:p w:rsidR="001D5833" w:rsidRDefault="001D5833" w:rsidP="001D5833">
      <w:pPr>
        <w:snapToGrid w:val="0"/>
        <w:spacing w:after="0" w:line="240" w:lineRule="auto"/>
        <w:jc w:val="both"/>
        <w:rPr>
          <w:b/>
          <w:color w:val="7F7F7F"/>
          <w:sz w:val="30"/>
          <w:szCs w:val="30"/>
          <w:lang w:val="en-US"/>
        </w:rPr>
      </w:pPr>
    </w:p>
    <w:p w:rsidR="001D5833" w:rsidRDefault="001D5833" w:rsidP="001D5833">
      <w:pPr>
        <w:snapToGrid w:val="0"/>
        <w:spacing w:after="0" w:line="240" w:lineRule="auto"/>
        <w:jc w:val="both"/>
        <w:rPr>
          <w:b/>
          <w:color w:val="7F7F7F"/>
          <w:sz w:val="30"/>
          <w:szCs w:val="30"/>
          <w:lang w:val="en-US"/>
        </w:rPr>
      </w:pPr>
    </w:p>
    <w:p w:rsidR="001D5833" w:rsidRPr="00E55E41" w:rsidRDefault="001D5833" w:rsidP="001D5833">
      <w:pPr>
        <w:snapToGrid w:val="0"/>
        <w:spacing w:after="0" w:line="240" w:lineRule="auto"/>
        <w:jc w:val="both"/>
        <w:rPr>
          <w:b/>
          <w:color w:val="7F7F7F"/>
          <w:sz w:val="30"/>
          <w:szCs w:val="30"/>
          <w:lang w:val="en-US"/>
        </w:rPr>
      </w:pPr>
    </w:p>
    <w:p w:rsidR="001D5833" w:rsidRPr="00294267" w:rsidRDefault="001D5833" w:rsidP="001D5833">
      <w:pPr>
        <w:snapToGrid w:val="0"/>
        <w:spacing w:after="0" w:line="240" w:lineRule="auto"/>
        <w:jc w:val="both"/>
        <w:rPr>
          <w:b/>
          <w:color w:val="7F7F7F"/>
          <w:sz w:val="30"/>
          <w:szCs w:val="30"/>
          <w:lang w:val="x-none"/>
        </w:rPr>
      </w:pPr>
    </w:p>
    <w:p w:rsidR="001D5833" w:rsidRPr="00294267" w:rsidRDefault="001D5833" w:rsidP="001D5833">
      <w:pPr>
        <w:snapToGrid w:val="0"/>
        <w:spacing w:after="0" w:line="240" w:lineRule="auto"/>
        <w:jc w:val="both"/>
        <w:rPr>
          <w:b/>
          <w:color w:val="7F7F7F"/>
          <w:sz w:val="30"/>
          <w:szCs w:val="30"/>
          <w:lang w:val="x-none"/>
        </w:rPr>
      </w:pPr>
    </w:p>
    <w:p w:rsidR="001D5833" w:rsidRPr="00294267" w:rsidRDefault="001D5833" w:rsidP="001D5833">
      <w:pPr>
        <w:snapToGrid w:val="0"/>
        <w:spacing w:after="0" w:line="240" w:lineRule="auto"/>
        <w:jc w:val="both"/>
        <w:rPr>
          <w:b/>
          <w:color w:val="7F7F7F"/>
          <w:sz w:val="30"/>
          <w:szCs w:val="30"/>
        </w:rPr>
      </w:pPr>
      <w:r w:rsidRPr="00294267">
        <w:rPr>
          <w:b/>
          <w:color w:val="7F7F7F"/>
          <w:sz w:val="30"/>
          <w:szCs w:val="30"/>
        </w:rPr>
        <w:t>__________________________</w:t>
      </w:r>
      <w:r w:rsidRPr="00294267">
        <w:rPr>
          <w:rFonts w:hint="eastAsia"/>
          <w:b/>
          <w:color w:val="7F7F7F"/>
          <w:sz w:val="30"/>
          <w:szCs w:val="30"/>
        </w:rPr>
        <w:t>_____</w:t>
      </w:r>
      <w:r w:rsidRPr="00294267">
        <w:rPr>
          <w:b/>
          <w:color w:val="7F7F7F"/>
          <w:sz w:val="30"/>
          <w:szCs w:val="30"/>
        </w:rPr>
        <w:t>__________________</w:t>
      </w:r>
      <w:r>
        <w:rPr>
          <w:b/>
          <w:color w:val="7F7F7F"/>
          <w:sz w:val="30"/>
          <w:szCs w:val="30"/>
        </w:rPr>
        <w:t>___</w:t>
      </w:r>
      <w:r w:rsidRPr="00294267">
        <w:rPr>
          <w:b/>
          <w:color w:val="7F7F7F"/>
          <w:sz w:val="30"/>
          <w:szCs w:val="30"/>
        </w:rPr>
        <w:t>________</w:t>
      </w:r>
    </w:p>
    <w:p w:rsidR="001D5833" w:rsidRPr="00294267" w:rsidRDefault="001D5833" w:rsidP="001D5833">
      <w:pPr>
        <w:snapToGrid w:val="0"/>
        <w:spacing w:after="0" w:line="240" w:lineRule="auto"/>
        <w:jc w:val="both"/>
        <w:rPr>
          <w:b/>
          <w:color w:val="7F7F7F"/>
          <w:sz w:val="30"/>
          <w:szCs w:val="30"/>
        </w:rPr>
      </w:pPr>
    </w:p>
    <w:p w:rsidR="001D5833" w:rsidRPr="00405C19" w:rsidRDefault="001D5833" w:rsidP="001D5833">
      <w:pPr>
        <w:snapToGrid w:val="0"/>
        <w:spacing w:after="0" w:line="240" w:lineRule="auto"/>
        <w:jc w:val="center"/>
        <w:rPr>
          <w:b/>
          <w:sz w:val="36"/>
          <w:szCs w:val="36"/>
        </w:rPr>
      </w:pPr>
      <w:r w:rsidRPr="00405C19">
        <w:rPr>
          <w:b/>
          <w:sz w:val="36"/>
          <w:szCs w:val="36"/>
        </w:rPr>
        <w:t xml:space="preserve">Listing Exchange Traded Funds (ETFs) on </w:t>
      </w:r>
      <w:r w:rsidRPr="00405C19">
        <w:rPr>
          <w:b/>
          <w:sz w:val="36"/>
          <w:szCs w:val="36"/>
        </w:rPr>
        <w:br/>
        <w:t>the Stock Exchange of Hong Kong Limited</w:t>
      </w:r>
    </w:p>
    <w:p w:rsidR="001D5833" w:rsidRPr="00294267" w:rsidRDefault="001D5833" w:rsidP="001D5833">
      <w:pPr>
        <w:snapToGrid w:val="0"/>
        <w:spacing w:after="0" w:line="240" w:lineRule="auto"/>
        <w:jc w:val="both"/>
        <w:rPr>
          <w:b/>
          <w:color w:val="7F7F7F"/>
          <w:sz w:val="30"/>
          <w:szCs w:val="30"/>
        </w:rPr>
      </w:pPr>
      <w:r w:rsidRPr="00294267">
        <w:rPr>
          <w:b/>
          <w:color w:val="7F7F7F"/>
          <w:sz w:val="30"/>
          <w:szCs w:val="30"/>
        </w:rPr>
        <w:t>___________________________</w:t>
      </w:r>
      <w:r w:rsidRPr="00294267">
        <w:rPr>
          <w:rFonts w:hint="eastAsia"/>
          <w:b/>
          <w:color w:val="7F7F7F"/>
          <w:sz w:val="30"/>
          <w:szCs w:val="30"/>
        </w:rPr>
        <w:t>_____</w:t>
      </w:r>
      <w:r w:rsidRPr="00294267">
        <w:rPr>
          <w:b/>
          <w:color w:val="7F7F7F"/>
          <w:sz w:val="30"/>
          <w:szCs w:val="30"/>
        </w:rPr>
        <w:t>_____________</w:t>
      </w:r>
      <w:r>
        <w:rPr>
          <w:b/>
          <w:color w:val="7F7F7F"/>
          <w:sz w:val="30"/>
          <w:szCs w:val="30"/>
        </w:rPr>
        <w:t>___</w:t>
      </w:r>
      <w:r w:rsidRPr="00294267">
        <w:rPr>
          <w:b/>
          <w:color w:val="7F7F7F"/>
          <w:sz w:val="30"/>
          <w:szCs w:val="30"/>
        </w:rPr>
        <w:t>____________</w:t>
      </w:r>
    </w:p>
    <w:p w:rsidR="001D5833" w:rsidRPr="00294267" w:rsidRDefault="001D5833" w:rsidP="001D5833">
      <w:pPr>
        <w:snapToGrid w:val="0"/>
        <w:spacing w:after="0" w:line="240" w:lineRule="auto"/>
        <w:jc w:val="both"/>
        <w:rPr>
          <w:b/>
          <w:color w:val="7F7F7F"/>
          <w:sz w:val="30"/>
          <w:szCs w:val="30"/>
        </w:rPr>
      </w:pPr>
    </w:p>
    <w:p w:rsidR="001D5833" w:rsidRPr="00294267" w:rsidRDefault="001D5833" w:rsidP="001D5833">
      <w:pPr>
        <w:snapToGrid w:val="0"/>
        <w:spacing w:after="0" w:line="240" w:lineRule="auto"/>
        <w:jc w:val="both"/>
        <w:rPr>
          <w:b/>
          <w:color w:val="7F7F7F"/>
          <w:sz w:val="30"/>
          <w:szCs w:val="30"/>
        </w:rPr>
      </w:pPr>
    </w:p>
    <w:p w:rsidR="001D5833" w:rsidRPr="00294267" w:rsidRDefault="001D5833" w:rsidP="001D5833">
      <w:pPr>
        <w:snapToGrid w:val="0"/>
        <w:spacing w:after="0" w:line="240" w:lineRule="auto"/>
        <w:jc w:val="both"/>
        <w:rPr>
          <w:b/>
          <w:color w:val="7F7F7F"/>
          <w:sz w:val="30"/>
          <w:szCs w:val="30"/>
        </w:rPr>
      </w:pPr>
    </w:p>
    <w:p w:rsidR="001D5833" w:rsidRPr="00294267" w:rsidRDefault="001D5833" w:rsidP="001D5833">
      <w:pPr>
        <w:snapToGrid w:val="0"/>
        <w:spacing w:after="0" w:line="240" w:lineRule="auto"/>
        <w:jc w:val="both"/>
        <w:rPr>
          <w:b/>
          <w:color w:val="7F7F7F"/>
          <w:sz w:val="30"/>
          <w:szCs w:val="30"/>
        </w:rPr>
      </w:pPr>
    </w:p>
    <w:p w:rsidR="001D5833" w:rsidRPr="00294267" w:rsidRDefault="001D5833" w:rsidP="001D5833">
      <w:pPr>
        <w:snapToGrid w:val="0"/>
        <w:spacing w:after="0" w:line="240" w:lineRule="auto"/>
        <w:jc w:val="both"/>
        <w:rPr>
          <w:b/>
          <w:color w:val="7F7F7F"/>
          <w:sz w:val="30"/>
          <w:szCs w:val="30"/>
        </w:rPr>
      </w:pPr>
    </w:p>
    <w:p w:rsidR="001D5833" w:rsidRDefault="001D5833" w:rsidP="001D5833">
      <w:pPr>
        <w:snapToGrid w:val="0"/>
        <w:spacing w:after="0" w:line="240" w:lineRule="auto"/>
        <w:jc w:val="center"/>
        <w:rPr>
          <w:b/>
          <w:bCs/>
          <w:color w:val="7F7F7F"/>
          <w:sz w:val="30"/>
          <w:szCs w:val="30"/>
        </w:rPr>
      </w:pPr>
    </w:p>
    <w:p w:rsidR="001D5833" w:rsidRPr="00294267" w:rsidRDefault="001D5833" w:rsidP="001D5833">
      <w:pPr>
        <w:snapToGrid w:val="0"/>
        <w:spacing w:after="0" w:line="240" w:lineRule="auto"/>
        <w:jc w:val="center"/>
        <w:rPr>
          <w:b/>
          <w:bCs/>
          <w:color w:val="7F7F7F"/>
          <w:sz w:val="30"/>
          <w:szCs w:val="30"/>
        </w:rPr>
      </w:pPr>
    </w:p>
    <w:p w:rsidR="001D5833" w:rsidRDefault="001D5833" w:rsidP="001D5833">
      <w:pPr>
        <w:snapToGrid w:val="0"/>
        <w:spacing w:after="0" w:line="240" w:lineRule="auto"/>
        <w:jc w:val="both"/>
        <w:rPr>
          <w:b/>
          <w:bCs/>
          <w:color w:val="7F7F7F"/>
          <w:sz w:val="30"/>
          <w:szCs w:val="30"/>
        </w:rPr>
      </w:pPr>
    </w:p>
    <w:p w:rsidR="001D5833" w:rsidRDefault="001D5833" w:rsidP="001D5833">
      <w:pPr>
        <w:snapToGrid w:val="0"/>
        <w:spacing w:after="0" w:line="240" w:lineRule="auto"/>
        <w:jc w:val="both"/>
        <w:rPr>
          <w:b/>
          <w:bCs/>
          <w:color w:val="7F7F7F"/>
          <w:sz w:val="30"/>
          <w:szCs w:val="30"/>
        </w:rPr>
      </w:pPr>
    </w:p>
    <w:p w:rsidR="001D5833" w:rsidRDefault="001D5833" w:rsidP="001D5833">
      <w:pPr>
        <w:snapToGrid w:val="0"/>
        <w:spacing w:after="0" w:line="240" w:lineRule="auto"/>
        <w:jc w:val="both"/>
        <w:rPr>
          <w:b/>
          <w:bCs/>
          <w:color w:val="7F7F7F"/>
          <w:sz w:val="30"/>
          <w:szCs w:val="30"/>
        </w:rPr>
      </w:pPr>
    </w:p>
    <w:p w:rsidR="001D5833" w:rsidRDefault="001D5833" w:rsidP="001D5833">
      <w:pPr>
        <w:snapToGrid w:val="0"/>
        <w:spacing w:after="0" w:line="240" w:lineRule="auto"/>
        <w:jc w:val="both"/>
        <w:rPr>
          <w:b/>
          <w:bCs/>
          <w:color w:val="7F7F7F"/>
          <w:sz w:val="30"/>
          <w:szCs w:val="30"/>
        </w:rPr>
      </w:pPr>
    </w:p>
    <w:p w:rsidR="001D5833" w:rsidRDefault="001D5833" w:rsidP="001D5833">
      <w:pPr>
        <w:snapToGrid w:val="0"/>
        <w:spacing w:after="0" w:line="240" w:lineRule="auto"/>
        <w:jc w:val="both"/>
        <w:rPr>
          <w:b/>
          <w:bCs/>
          <w:color w:val="7F7F7F"/>
          <w:sz w:val="30"/>
          <w:szCs w:val="30"/>
        </w:rPr>
      </w:pPr>
    </w:p>
    <w:p w:rsidR="001D5833" w:rsidRDefault="001D5833" w:rsidP="001D5833">
      <w:pPr>
        <w:snapToGrid w:val="0"/>
        <w:spacing w:after="0" w:line="240" w:lineRule="auto"/>
        <w:jc w:val="both"/>
        <w:rPr>
          <w:b/>
          <w:bCs/>
          <w:color w:val="7F7F7F"/>
          <w:sz w:val="30"/>
          <w:szCs w:val="30"/>
        </w:rPr>
      </w:pPr>
    </w:p>
    <w:p w:rsidR="001D5833" w:rsidRDefault="001D5833" w:rsidP="001D5833">
      <w:pPr>
        <w:snapToGrid w:val="0"/>
        <w:spacing w:after="0" w:line="240" w:lineRule="auto"/>
        <w:jc w:val="center"/>
        <w:rPr>
          <w:b/>
          <w:bCs/>
          <w:color w:val="7F7F7F"/>
          <w:sz w:val="30"/>
          <w:szCs w:val="30"/>
        </w:rPr>
      </w:pPr>
      <w:r w:rsidRPr="00294267">
        <w:rPr>
          <w:b/>
          <w:bCs/>
          <w:noProof/>
          <w:color w:val="7F7F7F"/>
          <w:sz w:val="30"/>
          <w:szCs w:val="30"/>
          <w:lang w:val="en-US"/>
        </w:rPr>
        <w:drawing>
          <wp:inline distT="0" distB="0" distL="0" distR="0">
            <wp:extent cx="1645920" cy="877570"/>
            <wp:effectExtent l="0" t="0" r="0" b="0"/>
            <wp:docPr id="1" name="Picture 1" descr="Charltons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tons Logo 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920" cy="877570"/>
                    </a:xfrm>
                    <a:prstGeom prst="rect">
                      <a:avLst/>
                    </a:prstGeom>
                    <a:noFill/>
                    <a:ln>
                      <a:noFill/>
                    </a:ln>
                  </pic:spPr>
                </pic:pic>
              </a:graphicData>
            </a:graphic>
          </wp:inline>
        </w:drawing>
      </w:r>
    </w:p>
    <w:p w:rsidR="001D5833" w:rsidRDefault="001D5833" w:rsidP="001D5833">
      <w:pPr>
        <w:snapToGrid w:val="0"/>
        <w:spacing w:after="0" w:line="240" w:lineRule="auto"/>
        <w:jc w:val="both"/>
        <w:rPr>
          <w:b/>
          <w:bCs/>
          <w:color w:val="7F7F7F"/>
          <w:sz w:val="30"/>
          <w:szCs w:val="30"/>
        </w:rPr>
      </w:pPr>
    </w:p>
    <w:p w:rsidR="001D5833" w:rsidRPr="00294267" w:rsidRDefault="001D5833" w:rsidP="001D5833">
      <w:pPr>
        <w:snapToGrid w:val="0"/>
        <w:spacing w:after="0" w:line="240" w:lineRule="auto"/>
        <w:jc w:val="both"/>
        <w:rPr>
          <w:b/>
          <w:bCs/>
          <w:color w:val="7F7F7F"/>
          <w:sz w:val="30"/>
          <w:szCs w:val="30"/>
        </w:rPr>
      </w:pPr>
    </w:p>
    <w:p w:rsidR="001D5833" w:rsidRPr="00294267" w:rsidRDefault="001D5833" w:rsidP="001D5833">
      <w:pPr>
        <w:snapToGrid w:val="0"/>
        <w:spacing w:after="0" w:line="240" w:lineRule="auto"/>
        <w:jc w:val="both"/>
        <w:rPr>
          <w:b/>
          <w:bCs/>
          <w:color w:val="7F7F7F"/>
          <w:sz w:val="30"/>
          <w:szCs w:val="30"/>
        </w:rPr>
      </w:pPr>
    </w:p>
    <w:tbl>
      <w:tblPr>
        <w:tblW w:w="0" w:type="auto"/>
        <w:jc w:val="center"/>
        <w:tblCellMar>
          <w:left w:w="28" w:type="dxa"/>
          <w:right w:w="28" w:type="dxa"/>
        </w:tblCellMar>
        <w:tblLook w:val="0000" w:firstRow="0" w:lastRow="0" w:firstColumn="0" w:lastColumn="0" w:noHBand="0" w:noVBand="0"/>
      </w:tblPr>
      <w:tblGrid>
        <w:gridCol w:w="2264"/>
        <w:gridCol w:w="2378"/>
        <w:gridCol w:w="2314"/>
        <w:gridCol w:w="2115"/>
      </w:tblGrid>
      <w:tr w:rsidR="001D5833" w:rsidRPr="00294267" w:rsidTr="006306A6">
        <w:trPr>
          <w:jc w:val="center"/>
        </w:trPr>
        <w:tc>
          <w:tcPr>
            <w:tcW w:w="2280" w:type="dxa"/>
          </w:tcPr>
          <w:p w:rsidR="001D5833" w:rsidRPr="0054692D" w:rsidRDefault="001D5833" w:rsidP="006306A6">
            <w:pPr>
              <w:snapToGrid w:val="0"/>
              <w:spacing w:after="0" w:line="240" w:lineRule="auto"/>
              <w:jc w:val="center"/>
              <w:rPr>
                <w:b/>
                <w:bCs/>
                <w:color w:val="000000"/>
                <w:sz w:val="24"/>
                <w:szCs w:val="24"/>
              </w:rPr>
            </w:pPr>
            <w:r w:rsidRPr="0054692D">
              <w:rPr>
                <w:b/>
                <w:bCs/>
                <w:color w:val="000000"/>
                <w:sz w:val="24"/>
                <w:szCs w:val="24"/>
              </w:rPr>
              <w:t>Hong Kong</w:t>
            </w:r>
          </w:p>
          <w:p w:rsidR="001D5833" w:rsidRPr="0054692D" w:rsidRDefault="001D5833" w:rsidP="006306A6">
            <w:pPr>
              <w:snapToGrid w:val="0"/>
              <w:spacing w:after="0" w:line="240" w:lineRule="auto"/>
              <w:jc w:val="center"/>
              <w:rPr>
                <w:b/>
                <w:color w:val="000000"/>
                <w:sz w:val="24"/>
                <w:szCs w:val="24"/>
              </w:rPr>
            </w:pPr>
          </w:p>
        </w:tc>
        <w:tc>
          <w:tcPr>
            <w:tcW w:w="2391" w:type="dxa"/>
          </w:tcPr>
          <w:p w:rsidR="001D5833" w:rsidRPr="0054692D" w:rsidRDefault="001D5833" w:rsidP="006306A6">
            <w:pPr>
              <w:snapToGrid w:val="0"/>
              <w:spacing w:after="0" w:line="240" w:lineRule="auto"/>
              <w:jc w:val="center"/>
              <w:rPr>
                <w:b/>
                <w:color w:val="000000"/>
                <w:sz w:val="24"/>
                <w:szCs w:val="24"/>
              </w:rPr>
            </w:pPr>
            <w:r w:rsidRPr="0054692D">
              <w:rPr>
                <w:b/>
                <w:bCs/>
                <w:color w:val="000000"/>
                <w:sz w:val="24"/>
                <w:szCs w:val="24"/>
              </w:rPr>
              <w:t>Shanghai</w:t>
            </w:r>
          </w:p>
          <w:p w:rsidR="001D5833" w:rsidRPr="0054692D" w:rsidRDefault="001D5833" w:rsidP="006306A6">
            <w:pPr>
              <w:snapToGrid w:val="0"/>
              <w:spacing w:after="0" w:line="240" w:lineRule="auto"/>
              <w:jc w:val="center"/>
              <w:rPr>
                <w:b/>
                <w:color w:val="000000"/>
                <w:sz w:val="24"/>
                <w:szCs w:val="24"/>
              </w:rPr>
            </w:pPr>
          </w:p>
        </w:tc>
        <w:tc>
          <w:tcPr>
            <w:tcW w:w="2329" w:type="dxa"/>
          </w:tcPr>
          <w:p w:rsidR="001D5833" w:rsidRPr="0054692D" w:rsidRDefault="001D5833" w:rsidP="006306A6">
            <w:pPr>
              <w:snapToGrid w:val="0"/>
              <w:spacing w:after="0" w:line="240" w:lineRule="auto"/>
              <w:jc w:val="center"/>
              <w:rPr>
                <w:b/>
                <w:bCs/>
                <w:color w:val="000000"/>
                <w:sz w:val="24"/>
                <w:szCs w:val="24"/>
              </w:rPr>
            </w:pPr>
            <w:r w:rsidRPr="0054692D">
              <w:rPr>
                <w:b/>
                <w:bCs/>
                <w:color w:val="000000"/>
                <w:sz w:val="24"/>
                <w:szCs w:val="24"/>
              </w:rPr>
              <w:t>Beijing</w:t>
            </w:r>
          </w:p>
          <w:p w:rsidR="001D5833" w:rsidRPr="0054692D" w:rsidRDefault="001D5833" w:rsidP="006306A6">
            <w:pPr>
              <w:snapToGrid w:val="0"/>
              <w:spacing w:after="0" w:line="240" w:lineRule="auto"/>
              <w:jc w:val="center"/>
              <w:rPr>
                <w:b/>
                <w:color w:val="000000"/>
                <w:sz w:val="24"/>
                <w:szCs w:val="24"/>
              </w:rPr>
            </w:pPr>
          </w:p>
        </w:tc>
        <w:tc>
          <w:tcPr>
            <w:tcW w:w="2127" w:type="dxa"/>
          </w:tcPr>
          <w:p w:rsidR="001D5833" w:rsidRPr="0054692D" w:rsidRDefault="001D5833" w:rsidP="006306A6">
            <w:pPr>
              <w:snapToGrid w:val="0"/>
              <w:spacing w:after="0" w:line="240" w:lineRule="auto"/>
              <w:jc w:val="center"/>
              <w:rPr>
                <w:b/>
                <w:bCs/>
                <w:color w:val="000000"/>
                <w:sz w:val="24"/>
                <w:szCs w:val="24"/>
              </w:rPr>
            </w:pPr>
            <w:r w:rsidRPr="0054692D">
              <w:rPr>
                <w:b/>
                <w:bCs/>
                <w:color w:val="000000"/>
                <w:sz w:val="24"/>
                <w:szCs w:val="24"/>
              </w:rPr>
              <w:t>Yangon</w:t>
            </w:r>
          </w:p>
        </w:tc>
      </w:tr>
    </w:tbl>
    <w:p w:rsidR="001D5833" w:rsidRDefault="001D5833" w:rsidP="001D5833">
      <w:pPr>
        <w:snapToGrid w:val="0"/>
        <w:spacing w:after="0" w:line="240" w:lineRule="auto"/>
        <w:ind w:left="284"/>
        <w:jc w:val="center"/>
        <w:rPr>
          <w:b/>
          <w:bCs/>
          <w:color w:val="7F7F7F"/>
          <w:sz w:val="30"/>
          <w:szCs w:val="30"/>
        </w:rPr>
      </w:pPr>
    </w:p>
    <w:p w:rsidR="001D5833" w:rsidRPr="00405C19" w:rsidRDefault="001D5833" w:rsidP="001D5833">
      <w:pPr>
        <w:snapToGrid w:val="0"/>
        <w:spacing w:after="0" w:line="240" w:lineRule="auto"/>
        <w:jc w:val="center"/>
        <w:rPr>
          <w:b/>
          <w:bCs/>
          <w:color w:val="C00000"/>
          <w:sz w:val="24"/>
          <w:szCs w:val="24"/>
        </w:rPr>
      </w:pPr>
      <w:r w:rsidRPr="00405C19">
        <w:rPr>
          <w:b/>
          <w:bCs/>
          <w:color w:val="C00000"/>
          <w:sz w:val="24"/>
          <w:szCs w:val="24"/>
        </w:rPr>
        <w:t>www.charltonslaw.com</w:t>
      </w:r>
    </w:p>
    <w:p w:rsidR="001D5833" w:rsidRPr="00294267" w:rsidRDefault="001D5833" w:rsidP="001D5833">
      <w:pPr>
        <w:snapToGrid w:val="0"/>
        <w:spacing w:after="0" w:line="240" w:lineRule="auto"/>
        <w:jc w:val="both"/>
        <w:rPr>
          <w:b/>
          <w:color w:val="7F7F7F"/>
          <w:sz w:val="30"/>
          <w:szCs w:val="30"/>
          <w:u w:val="single"/>
          <w:lang w:val="en-US"/>
        </w:rPr>
        <w:sectPr w:rsidR="001D5833" w:rsidRPr="00294267" w:rsidSect="006306A6">
          <w:pgSz w:w="11907" w:h="16840" w:code="9"/>
          <w:pgMar w:top="1418" w:right="1418" w:bottom="1418" w:left="1418" w:header="720" w:footer="567"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docGrid w:linePitch="360"/>
        </w:sectPr>
      </w:pPr>
    </w:p>
    <w:p w:rsidR="001D5833" w:rsidRPr="00294267" w:rsidRDefault="001D5833" w:rsidP="001D5833">
      <w:pPr>
        <w:snapToGrid w:val="0"/>
        <w:spacing w:after="0" w:line="240" w:lineRule="auto"/>
        <w:jc w:val="both"/>
        <w:rPr>
          <w:color w:val="7F7F7F"/>
          <w:sz w:val="30"/>
          <w:szCs w:val="30"/>
          <w:lang w:val="en-US"/>
        </w:rPr>
      </w:pPr>
    </w:p>
    <w:p w:rsidR="001D5833" w:rsidRPr="00BA7D9B" w:rsidRDefault="001D5833" w:rsidP="001D5833">
      <w:pPr>
        <w:snapToGrid w:val="0"/>
        <w:spacing w:after="0" w:line="240" w:lineRule="auto"/>
        <w:jc w:val="both"/>
        <w:rPr>
          <w:b/>
          <w:sz w:val="28"/>
          <w:szCs w:val="28"/>
          <w:lang w:val="en-US"/>
        </w:rPr>
      </w:pPr>
      <w:r w:rsidRPr="00BA7D9B">
        <w:rPr>
          <w:b/>
          <w:sz w:val="28"/>
          <w:szCs w:val="28"/>
          <w:lang w:val="en-US"/>
        </w:rPr>
        <w:t>Contents</w:t>
      </w:r>
    </w:p>
    <w:p w:rsidR="001D5833" w:rsidRDefault="001D5833" w:rsidP="001D5833">
      <w:pPr>
        <w:snapToGrid w:val="0"/>
        <w:spacing w:after="0" w:line="240" w:lineRule="auto"/>
        <w:jc w:val="both"/>
        <w:rPr>
          <w:b/>
          <w:sz w:val="30"/>
          <w:szCs w:val="30"/>
          <w:lang w:val="en-US"/>
        </w:rPr>
      </w:pPr>
    </w:p>
    <w:p w:rsidR="001D5833" w:rsidRPr="00C135A1" w:rsidRDefault="001D5833" w:rsidP="001D5833">
      <w:pPr>
        <w:pStyle w:val="TOC1"/>
        <w:tabs>
          <w:tab w:val="right" w:leader="dot" w:pos="9487"/>
        </w:tabs>
        <w:spacing w:after="120" w:line="240" w:lineRule="auto"/>
        <w:rPr>
          <w:rFonts w:ascii="Times New Roman" w:hAnsi="Times New Roman"/>
          <w:noProof/>
          <w:sz w:val="24"/>
          <w:szCs w:val="24"/>
          <w:lang w:eastAsia="zh-CN"/>
        </w:rPr>
      </w:pPr>
      <w:r w:rsidRPr="00C135A1">
        <w:rPr>
          <w:rFonts w:ascii="Times New Roman" w:hAnsi="Times New Roman"/>
          <w:sz w:val="24"/>
          <w:szCs w:val="24"/>
        </w:rPr>
        <w:fldChar w:fldCharType="begin"/>
      </w:r>
      <w:r w:rsidRPr="00C135A1">
        <w:rPr>
          <w:rFonts w:ascii="Times New Roman" w:hAnsi="Times New Roman"/>
          <w:sz w:val="24"/>
          <w:szCs w:val="24"/>
        </w:rPr>
        <w:instrText xml:space="preserve"> TOC \o "1-3" \h \z \u </w:instrText>
      </w:r>
      <w:r w:rsidRPr="00C135A1">
        <w:rPr>
          <w:rFonts w:ascii="Times New Roman" w:hAnsi="Times New Roman"/>
          <w:sz w:val="24"/>
          <w:szCs w:val="24"/>
        </w:rPr>
        <w:fldChar w:fldCharType="separate"/>
      </w:r>
      <w:hyperlink w:anchor="_Toc476841227" w:history="1">
        <w:r w:rsidRPr="00C135A1">
          <w:rPr>
            <w:rStyle w:val="Hyperlink"/>
            <w:rFonts w:ascii="Times New Roman" w:hAnsi="Times New Roman"/>
            <w:noProof/>
            <w:sz w:val="24"/>
            <w:szCs w:val="24"/>
          </w:rPr>
          <w:t>Hong Kong’s ETF Market: Background</w:t>
        </w:r>
        <w:r w:rsidRPr="00C135A1">
          <w:rPr>
            <w:rFonts w:ascii="Times New Roman" w:hAnsi="Times New Roman"/>
            <w:noProof/>
            <w:webHidden/>
            <w:sz w:val="24"/>
            <w:szCs w:val="24"/>
          </w:rPr>
          <w:tab/>
        </w:r>
        <w:r w:rsidRPr="00C135A1">
          <w:rPr>
            <w:rFonts w:ascii="Times New Roman" w:hAnsi="Times New Roman"/>
            <w:noProof/>
            <w:webHidden/>
            <w:sz w:val="24"/>
            <w:szCs w:val="24"/>
          </w:rPr>
          <w:fldChar w:fldCharType="begin"/>
        </w:r>
        <w:r w:rsidRPr="00C135A1">
          <w:rPr>
            <w:rFonts w:ascii="Times New Roman" w:hAnsi="Times New Roman"/>
            <w:noProof/>
            <w:webHidden/>
            <w:sz w:val="24"/>
            <w:szCs w:val="24"/>
          </w:rPr>
          <w:instrText xml:space="preserve"> PAGEREF _Toc476841227 \h </w:instrText>
        </w:r>
        <w:r w:rsidRPr="00C135A1">
          <w:rPr>
            <w:rFonts w:ascii="Times New Roman" w:hAnsi="Times New Roman"/>
            <w:noProof/>
            <w:webHidden/>
            <w:sz w:val="24"/>
            <w:szCs w:val="24"/>
          </w:rPr>
        </w:r>
        <w:r w:rsidRPr="00C135A1">
          <w:rPr>
            <w:rFonts w:ascii="Times New Roman" w:hAnsi="Times New Roman"/>
            <w:noProof/>
            <w:webHidden/>
            <w:sz w:val="24"/>
            <w:szCs w:val="24"/>
          </w:rPr>
          <w:fldChar w:fldCharType="separate"/>
        </w:r>
        <w:r w:rsidR="00083B58">
          <w:rPr>
            <w:rFonts w:ascii="Times New Roman" w:hAnsi="Times New Roman"/>
            <w:noProof/>
            <w:webHidden/>
            <w:sz w:val="24"/>
            <w:szCs w:val="24"/>
          </w:rPr>
          <w:t>1</w:t>
        </w:r>
        <w:r w:rsidRPr="00C135A1">
          <w:rPr>
            <w:rFonts w:ascii="Times New Roman" w:hAnsi="Times New Roman"/>
            <w:noProof/>
            <w:webHidden/>
            <w:sz w:val="24"/>
            <w:szCs w:val="24"/>
          </w:rPr>
          <w:fldChar w:fldCharType="end"/>
        </w:r>
      </w:hyperlink>
    </w:p>
    <w:p w:rsidR="001D5833" w:rsidRPr="00C135A1" w:rsidRDefault="007A4313" w:rsidP="001D5833">
      <w:pPr>
        <w:pStyle w:val="TOC1"/>
        <w:tabs>
          <w:tab w:val="right" w:leader="dot" w:pos="9487"/>
        </w:tabs>
        <w:spacing w:after="120" w:line="240" w:lineRule="auto"/>
        <w:rPr>
          <w:rFonts w:ascii="Times New Roman" w:hAnsi="Times New Roman"/>
          <w:noProof/>
          <w:sz w:val="24"/>
          <w:szCs w:val="24"/>
          <w:lang w:eastAsia="zh-CN"/>
        </w:rPr>
      </w:pPr>
      <w:hyperlink w:anchor="_Toc476841228" w:history="1">
        <w:r w:rsidR="001D5833" w:rsidRPr="00C135A1">
          <w:rPr>
            <w:rStyle w:val="Hyperlink"/>
            <w:rFonts w:ascii="Times New Roman" w:hAnsi="Times New Roman"/>
            <w:noProof/>
            <w:sz w:val="24"/>
            <w:szCs w:val="24"/>
          </w:rPr>
          <w:t>Hong Kong Regulatory Framework for ETFs</w:t>
        </w:r>
        <w:r w:rsidR="001D5833" w:rsidRPr="00C135A1">
          <w:rPr>
            <w:rFonts w:ascii="Times New Roman" w:hAnsi="Times New Roman"/>
            <w:noProof/>
            <w:webHidden/>
            <w:sz w:val="24"/>
            <w:szCs w:val="24"/>
          </w:rPr>
          <w:tab/>
        </w:r>
        <w:r w:rsidR="001D5833" w:rsidRPr="00C135A1">
          <w:rPr>
            <w:rFonts w:ascii="Times New Roman" w:hAnsi="Times New Roman"/>
            <w:noProof/>
            <w:webHidden/>
            <w:sz w:val="24"/>
            <w:szCs w:val="24"/>
          </w:rPr>
          <w:fldChar w:fldCharType="begin"/>
        </w:r>
        <w:r w:rsidR="001D5833" w:rsidRPr="00C135A1">
          <w:rPr>
            <w:rFonts w:ascii="Times New Roman" w:hAnsi="Times New Roman"/>
            <w:noProof/>
            <w:webHidden/>
            <w:sz w:val="24"/>
            <w:szCs w:val="24"/>
          </w:rPr>
          <w:instrText xml:space="preserve"> PAGEREF _Toc476841228 \h </w:instrText>
        </w:r>
        <w:r w:rsidR="001D5833" w:rsidRPr="00C135A1">
          <w:rPr>
            <w:rFonts w:ascii="Times New Roman" w:hAnsi="Times New Roman"/>
            <w:noProof/>
            <w:webHidden/>
            <w:sz w:val="24"/>
            <w:szCs w:val="24"/>
          </w:rPr>
        </w:r>
        <w:r w:rsidR="001D5833" w:rsidRPr="00C135A1">
          <w:rPr>
            <w:rFonts w:ascii="Times New Roman" w:hAnsi="Times New Roman"/>
            <w:noProof/>
            <w:webHidden/>
            <w:sz w:val="24"/>
            <w:szCs w:val="24"/>
          </w:rPr>
          <w:fldChar w:fldCharType="separate"/>
        </w:r>
        <w:r w:rsidR="00083B58">
          <w:rPr>
            <w:rFonts w:ascii="Times New Roman" w:hAnsi="Times New Roman"/>
            <w:noProof/>
            <w:webHidden/>
            <w:sz w:val="24"/>
            <w:szCs w:val="24"/>
          </w:rPr>
          <w:t>2</w:t>
        </w:r>
        <w:r w:rsidR="001D5833" w:rsidRPr="00C135A1">
          <w:rPr>
            <w:rFonts w:ascii="Times New Roman" w:hAnsi="Times New Roman"/>
            <w:noProof/>
            <w:webHidden/>
            <w:sz w:val="24"/>
            <w:szCs w:val="24"/>
          </w:rPr>
          <w:fldChar w:fldCharType="end"/>
        </w:r>
      </w:hyperlink>
    </w:p>
    <w:p w:rsidR="001D5833" w:rsidRPr="00C135A1" w:rsidRDefault="007A4313" w:rsidP="001D5833">
      <w:pPr>
        <w:pStyle w:val="TOC1"/>
        <w:tabs>
          <w:tab w:val="right" w:leader="dot" w:pos="9487"/>
        </w:tabs>
        <w:spacing w:after="120" w:line="240" w:lineRule="auto"/>
        <w:rPr>
          <w:rFonts w:ascii="Times New Roman" w:hAnsi="Times New Roman"/>
          <w:noProof/>
          <w:sz w:val="24"/>
          <w:szCs w:val="24"/>
          <w:lang w:eastAsia="zh-CN"/>
        </w:rPr>
      </w:pPr>
      <w:hyperlink w:anchor="_Toc476841229" w:history="1">
        <w:r w:rsidR="001D5833" w:rsidRPr="00C135A1">
          <w:rPr>
            <w:rStyle w:val="Hyperlink"/>
            <w:rFonts w:ascii="Times New Roman" w:hAnsi="Times New Roman"/>
            <w:noProof/>
            <w:sz w:val="24"/>
            <w:szCs w:val="24"/>
          </w:rPr>
          <w:t>SFC Authorisation of an ETF</w:t>
        </w:r>
        <w:r w:rsidR="001D5833" w:rsidRPr="00C135A1">
          <w:rPr>
            <w:rFonts w:ascii="Times New Roman" w:hAnsi="Times New Roman"/>
            <w:noProof/>
            <w:webHidden/>
            <w:sz w:val="24"/>
            <w:szCs w:val="24"/>
          </w:rPr>
          <w:tab/>
        </w:r>
        <w:r w:rsidR="001D5833" w:rsidRPr="00C135A1">
          <w:rPr>
            <w:rFonts w:ascii="Times New Roman" w:hAnsi="Times New Roman"/>
            <w:noProof/>
            <w:webHidden/>
            <w:sz w:val="24"/>
            <w:szCs w:val="24"/>
          </w:rPr>
          <w:fldChar w:fldCharType="begin"/>
        </w:r>
        <w:r w:rsidR="001D5833" w:rsidRPr="00C135A1">
          <w:rPr>
            <w:rFonts w:ascii="Times New Roman" w:hAnsi="Times New Roman"/>
            <w:noProof/>
            <w:webHidden/>
            <w:sz w:val="24"/>
            <w:szCs w:val="24"/>
          </w:rPr>
          <w:instrText xml:space="preserve"> PAGEREF _Toc476841229 \h </w:instrText>
        </w:r>
        <w:r w:rsidR="001D5833" w:rsidRPr="00C135A1">
          <w:rPr>
            <w:rFonts w:ascii="Times New Roman" w:hAnsi="Times New Roman"/>
            <w:noProof/>
            <w:webHidden/>
            <w:sz w:val="24"/>
            <w:szCs w:val="24"/>
          </w:rPr>
        </w:r>
        <w:r w:rsidR="001D5833" w:rsidRPr="00C135A1">
          <w:rPr>
            <w:rFonts w:ascii="Times New Roman" w:hAnsi="Times New Roman"/>
            <w:noProof/>
            <w:webHidden/>
            <w:sz w:val="24"/>
            <w:szCs w:val="24"/>
          </w:rPr>
          <w:fldChar w:fldCharType="separate"/>
        </w:r>
        <w:r w:rsidR="00083B58">
          <w:rPr>
            <w:rFonts w:ascii="Times New Roman" w:hAnsi="Times New Roman"/>
            <w:noProof/>
            <w:webHidden/>
            <w:sz w:val="24"/>
            <w:szCs w:val="24"/>
          </w:rPr>
          <w:t>2</w:t>
        </w:r>
        <w:r w:rsidR="001D5833" w:rsidRPr="00C135A1">
          <w:rPr>
            <w:rFonts w:ascii="Times New Roman" w:hAnsi="Times New Roman"/>
            <w:noProof/>
            <w:webHidden/>
            <w:sz w:val="24"/>
            <w:szCs w:val="24"/>
          </w:rPr>
          <w:fldChar w:fldCharType="end"/>
        </w:r>
      </w:hyperlink>
    </w:p>
    <w:p w:rsidR="001D5833" w:rsidRPr="00C135A1" w:rsidRDefault="007A4313" w:rsidP="001D5833">
      <w:pPr>
        <w:pStyle w:val="TOC1"/>
        <w:tabs>
          <w:tab w:val="right" w:leader="dot" w:pos="9487"/>
        </w:tabs>
        <w:spacing w:after="120" w:line="240" w:lineRule="auto"/>
        <w:rPr>
          <w:rFonts w:ascii="Times New Roman" w:hAnsi="Times New Roman"/>
          <w:noProof/>
          <w:sz w:val="24"/>
          <w:szCs w:val="24"/>
          <w:lang w:eastAsia="zh-CN"/>
        </w:rPr>
      </w:pPr>
      <w:hyperlink w:anchor="_Toc476841230" w:history="1">
        <w:r w:rsidR="001D5833" w:rsidRPr="00C135A1">
          <w:rPr>
            <w:rStyle w:val="Hyperlink"/>
            <w:rFonts w:ascii="Times New Roman" w:hAnsi="Times New Roman"/>
            <w:noProof/>
            <w:sz w:val="24"/>
            <w:szCs w:val="24"/>
          </w:rPr>
          <w:t>Listing of ETFs on the HKSE</w:t>
        </w:r>
        <w:r w:rsidR="001D5833" w:rsidRPr="00C135A1">
          <w:rPr>
            <w:rFonts w:ascii="Times New Roman" w:hAnsi="Times New Roman"/>
            <w:noProof/>
            <w:webHidden/>
            <w:sz w:val="24"/>
            <w:szCs w:val="24"/>
          </w:rPr>
          <w:tab/>
        </w:r>
        <w:r w:rsidR="001D5833" w:rsidRPr="00C135A1">
          <w:rPr>
            <w:rFonts w:ascii="Times New Roman" w:hAnsi="Times New Roman"/>
            <w:noProof/>
            <w:webHidden/>
            <w:sz w:val="24"/>
            <w:szCs w:val="24"/>
          </w:rPr>
          <w:fldChar w:fldCharType="begin"/>
        </w:r>
        <w:r w:rsidR="001D5833" w:rsidRPr="00C135A1">
          <w:rPr>
            <w:rFonts w:ascii="Times New Roman" w:hAnsi="Times New Roman"/>
            <w:noProof/>
            <w:webHidden/>
            <w:sz w:val="24"/>
            <w:szCs w:val="24"/>
          </w:rPr>
          <w:instrText xml:space="preserve"> PAGEREF _Toc476841230 \h </w:instrText>
        </w:r>
        <w:r w:rsidR="001D5833" w:rsidRPr="00C135A1">
          <w:rPr>
            <w:rFonts w:ascii="Times New Roman" w:hAnsi="Times New Roman"/>
            <w:noProof/>
            <w:webHidden/>
            <w:sz w:val="24"/>
            <w:szCs w:val="24"/>
          </w:rPr>
        </w:r>
        <w:r w:rsidR="001D5833" w:rsidRPr="00C135A1">
          <w:rPr>
            <w:rFonts w:ascii="Times New Roman" w:hAnsi="Times New Roman"/>
            <w:noProof/>
            <w:webHidden/>
            <w:sz w:val="24"/>
            <w:szCs w:val="24"/>
          </w:rPr>
          <w:fldChar w:fldCharType="separate"/>
        </w:r>
        <w:r w:rsidR="00083B58">
          <w:rPr>
            <w:rFonts w:ascii="Times New Roman" w:hAnsi="Times New Roman"/>
            <w:noProof/>
            <w:webHidden/>
            <w:sz w:val="24"/>
            <w:szCs w:val="24"/>
          </w:rPr>
          <w:t>7</w:t>
        </w:r>
        <w:r w:rsidR="001D5833" w:rsidRPr="00C135A1">
          <w:rPr>
            <w:rFonts w:ascii="Times New Roman" w:hAnsi="Times New Roman"/>
            <w:noProof/>
            <w:webHidden/>
            <w:sz w:val="24"/>
            <w:szCs w:val="24"/>
          </w:rPr>
          <w:fldChar w:fldCharType="end"/>
        </w:r>
      </w:hyperlink>
    </w:p>
    <w:p w:rsidR="001D5833" w:rsidRPr="00C135A1" w:rsidRDefault="007A4313" w:rsidP="001D5833">
      <w:pPr>
        <w:pStyle w:val="TOC1"/>
        <w:tabs>
          <w:tab w:val="right" w:leader="dot" w:pos="9487"/>
        </w:tabs>
        <w:spacing w:after="120" w:line="240" w:lineRule="auto"/>
        <w:rPr>
          <w:rFonts w:ascii="Times New Roman" w:hAnsi="Times New Roman"/>
          <w:noProof/>
          <w:sz w:val="24"/>
          <w:szCs w:val="24"/>
          <w:lang w:eastAsia="zh-CN"/>
        </w:rPr>
      </w:pPr>
      <w:hyperlink w:anchor="_Toc476841233" w:history="1">
        <w:r w:rsidR="001D5833" w:rsidRPr="00C135A1">
          <w:rPr>
            <w:rStyle w:val="Hyperlink"/>
            <w:rFonts w:ascii="Times New Roman" w:hAnsi="Times New Roman"/>
            <w:noProof/>
            <w:sz w:val="24"/>
            <w:szCs w:val="24"/>
          </w:rPr>
          <w:t>Trading ETFs in Hong Kong</w:t>
        </w:r>
        <w:r w:rsidR="001D5833" w:rsidRPr="00C135A1">
          <w:rPr>
            <w:rFonts w:ascii="Times New Roman" w:hAnsi="Times New Roman"/>
            <w:noProof/>
            <w:webHidden/>
            <w:sz w:val="24"/>
            <w:szCs w:val="24"/>
          </w:rPr>
          <w:tab/>
        </w:r>
        <w:r w:rsidR="001D5833" w:rsidRPr="00C135A1">
          <w:rPr>
            <w:rFonts w:ascii="Times New Roman" w:hAnsi="Times New Roman"/>
            <w:noProof/>
            <w:webHidden/>
            <w:sz w:val="24"/>
            <w:szCs w:val="24"/>
          </w:rPr>
          <w:fldChar w:fldCharType="begin"/>
        </w:r>
        <w:r w:rsidR="001D5833" w:rsidRPr="00C135A1">
          <w:rPr>
            <w:rFonts w:ascii="Times New Roman" w:hAnsi="Times New Roman"/>
            <w:noProof/>
            <w:webHidden/>
            <w:sz w:val="24"/>
            <w:szCs w:val="24"/>
          </w:rPr>
          <w:instrText xml:space="preserve"> PAGEREF _Toc476841233 \h </w:instrText>
        </w:r>
        <w:r w:rsidR="001D5833" w:rsidRPr="00C135A1">
          <w:rPr>
            <w:rFonts w:ascii="Times New Roman" w:hAnsi="Times New Roman"/>
            <w:noProof/>
            <w:webHidden/>
            <w:sz w:val="24"/>
            <w:szCs w:val="24"/>
          </w:rPr>
        </w:r>
        <w:r w:rsidR="001D5833" w:rsidRPr="00C135A1">
          <w:rPr>
            <w:rFonts w:ascii="Times New Roman" w:hAnsi="Times New Roman"/>
            <w:noProof/>
            <w:webHidden/>
            <w:sz w:val="24"/>
            <w:szCs w:val="24"/>
          </w:rPr>
          <w:fldChar w:fldCharType="separate"/>
        </w:r>
        <w:r w:rsidR="00083B58">
          <w:rPr>
            <w:rFonts w:ascii="Times New Roman" w:hAnsi="Times New Roman"/>
            <w:noProof/>
            <w:webHidden/>
            <w:sz w:val="24"/>
            <w:szCs w:val="24"/>
          </w:rPr>
          <w:t>9</w:t>
        </w:r>
        <w:r w:rsidR="001D5833" w:rsidRPr="00C135A1">
          <w:rPr>
            <w:rFonts w:ascii="Times New Roman" w:hAnsi="Times New Roman"/>
            <w:noProof/>
            <w:webHidden/>
            <w:sz w:val="24"/>
            <w:szCs w:val="24"/>
          </w:rPr>
          <w:fldChar w:fldCharType="end"/>
        </w:r>
      </w:hyperlink>
    </w:p>
    <w:p w:rsidR="001D5833" w:rsidRDefault="001D5833" w:rsidP="001D5833">
      <w:r w:rsidRPr="00C135A1">
        <w:rPr>
          <w:b/>
          <w:bCs/>
          <w:noProof/>
          <w:sz w:val="24"/>
          <w:szCs w:val="24"/>
        </w:rPr>
        <w:fldChar w:fldCharType="end"/>
      </w:r>
    </w:p>
    <w:p w:rsidR="001D5833" w:rsidRDefault="001D5833" w:rsidP="001D5833"/>
    <w:p w:rsidR="001D5833" w:rsidRPr="00E55E41" w:rsidRDefault="001D5833" w:rsidP="001D5833">
      <w:pPr>
        <w:snapToGrid w:val="0"/>
        <w:spacing w:after="0" w:line="240" w:lineRule="auto"/>
        <w:jc w:val="both"/>
        <w:rPr>
          <w:color w:val="7F7F7F"/>
          <w:sz w:val="30"/>
          <w:szCs w:val="30"/>
          <w:lang w:val="en-US"/>
        </w:rPr>
      </w:pPr>
    </w:p>
    <w:p w:rsidR="001D5833" w:rsidRPr="0063608A" w:rsidRDefault="001D5833" w:rsidP="001D5833">
      <w:pPr>
        <w:snapToGrid w:val="0"/>
        <w:spacing w:after="0" w:line="240" w:lineRule="auto"/>
        <w:jc w:val="both"/>
        <w:rPr>
          <w:b/>
          <w:color w:val="002060"/>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pPr>
    </w:p>
    <w:p w:rsidR="001D5833" w:rsidRDefault="001D5833" w:rsidP="001D5833">
      <w:pPr>
        <w:snapToGrid w:val="0"/>
        <w:spacing w:after="0" w:line="240" w:lineRule="auto"/>
        <w:jc w:val="both"/>
        <w:rPr>
          <w:b/>
          <w:sz w:val="24"/>
          <w:szCs w:val="24"/>
        </w:rPr>
        <w:sectPr w:rsidR="001D5833" w:rsidSect="006306A6">
          <w:headerReference w:type="default" r:id="rId9"/>
          <w:footerReference w:type="default" r:id="rId10"/>
          <w:pgSz w:w="11906" w:h="16838"/>
          <w:pgMar w:top="1440" w:right="1133" w:bottom="1440" w:left="1276" w:header="708" w:footer="48" w:gutter="0"/>
          <w:pgNumType w:fmt="lowerRoman" w:start="1"/>
          <w:cols w:space="708"/>
          <w:docGrid w:linePitch="360"/>
        </w:sectPr>
      </w:pPr>
    </w:p>
    <w:p w:rsidR="001D5833" w:rsidRPr="0054692D" w:rsidRDefault="001D5833" w:rsidP="001D5833">
      <w:pPr>
        <w:pStyle w:val="Heading1"/>
        <w:rPr>
          <w:rFonts w:ascii="Times New Roman" w:hAnsi="Times New Roman"/>
          <w:sz w:val="24"/>
          <w:szCs w:val="24"/>
        </w:rPr>
      </w:pPr>
      <w:bookmarkStart w:id="0" w:name="_Toc476841227"/>
      <w:r w:rsidRPr="0054692D">
        <w:rPr>
          <w:rFonts w:ascii="Times New Roman" w:hAnsi="Times New Roman"/>
          <w:sz w:val="24"/>
          <w:szCs w:val="24"/>
        </w:rPr>
        <w:lastRenderedPageBreak/>
        <w:t>Hong Kong’s ETF Market: Background</w:t>
      </w:r>
      <w:bookmarkEnd w:id="0"/>
    </w:p>
    <w:p w:rsidR="001D5833" w:rsidRDefault="001D5833" w:rsidP="001D5833">
      <w:pPr>
        <w:snapToGrid w:val="0"/>
        <w:spacing w:after="0" w:line="240" w:lineRule="auto"/>
        <w:jc w:val="both"/>
        <w:rPr>
          <w:rFonts w:eastAsia="Times New Roman"/>
          <w:color w:val="000000"/>
        </w:rPr>
      </w:pPr>
    </w:p>
    <w:p w:rsidR="001D5833" w:rsidRDefault="001D5833" w:rsidP="001D5833">
      <w:pPr>
        <w:snapToGrid w:val="0"/>
        <w:spacing w:after="0" w:line="240" w:lineRule="auto"/>
        <w:jc w:val="both"/>
        <w:rPr>
          <w:rFonts w:eastAsia="Times New Roman"/>
          <w:color w:val="000000"/>
        </w:rPr>
      </w:pPr>
      <w:r w:rsidRPr="00B75310">
        <w:rPr>
          <w:rFonts w:eastAsia="Times New Roman"/>
          <w:color w:val="000000"/>
        </w:rPr>
        <w:t xml:space="preserve">Hong Kong’s ETF market is one of the largest and most active in Asia and has seen significant growth in recent years. There are currently </w:t>
      </w:r>
      <w:r w:rsidR="00B75310" w:rsidRPr="00A7510E">
        <w:rPr>
          <w:rFonts w:eastAsia="Times New Roman"/>
          <w:color w:val="000000"/>
        </w:rPr>
        <w:t>118</w:t>
      </w:r>
      <w:r w:rsidR="00312507" w:rsidRPr="00A7510E">
        <w:rPr>
          <w:rFonts w:eastAsia="Times New Roman"/>
          <w:color w:val="000000"/>
        </w:rPr>
        <w:t xml:space="preserve"> </w:t>
      </w:r>
      <w:r w:rsidRPr="00A7510E">
        <w:rPr>
          <w:rFonts w:eastAsia="Times New Roman"/>
          <w:color w:val="000000"/>
        </w:rPr>
        <w:t>ETFs</w:t>
      </w:r>
      <w:r w:rsidRPr="00B75310">
        <w:rPr>
          <w:rFonts w:eastAsia="Times New Roman"/>
          <w:color w:val="000000"/>
        </w:rPr>
        <w:t xml:space="preserve"> listed on the Stock Exchange of Hong Kong Limited</w:t>
      </w:r>
      <w:r w:rsidRPr="00B75310">
        <w:rPr>
          <w:rStyle w:val="FootnoteReference"/>
          <w:rFonts w:eastAsia="Times New Roman"/>
          <w:color w:val="000000"/>
        </w:rPr>
        <w:footnoteReference w:id="1"/>
      </w:r>
      <w:r w:rsidRPr="00B75310">
        <w:rPr>
          <w:rFonts w:eastAsia="Times New Roman"/>
          <w:color w:val="000000"/>
        </w:rPr>
        <w:t xml:space="preserve"> (HKSE)</w:t>
      </w:r>
      <w:r w:rsidR="00312507" w:rsidRPr="00B75310">
        <w:rPr>
          <w:rFonts w:eastAsia="Times New Roman"/>
          <w:color w:val="000000"/>
        </w:rPr>
        <w:t xml:space="preserve"> as of </w:t>
      </w:r>
      <w:r w:rsidR="00B75310" w:rsidRPr="00A7510E">
        <w:rPr>
          <w:rFonts w:eastAsia="Times New Roman"/>
          <w:color w:val="000000"/>
        </w:rPr>
        <w:t>31 D</w:t>
      </w:r>
      <w:r w:rsidR="00B75310" w:rsidRPr="00A7510E">
        <w:rPr>
          <w:rFonts w:eastAsiaTheme="minorEastAsia"/>
          <w:color w:val="000000"/>
          <w:lang w:eastAsia="zh-CN"/>
        </w:rPr>
        <w:t>ecember</w:t>
      </w:r>
      <w:r w:rsidR="00312507" w:rsidRPr="00B75310">
        <w:rPr>
          <w:rFonts w:eastAsia="Times New Roman"/>
          <w:color w:val="000000"/>
        </w:rPr>
        <w:t xml:space="preserve"> 202</w:t>
      </w:r>
      <w:r w:rsidR="00B75310" w:rsidRPr="00A7510E">
        <w:rPr>
          <w:rFonts w:eastAsia="Times New Roman"/>
          <w:color w:val="000000"/>
        </w:rPr>
        <w:t>0.</w:t>
      </w:r>
      <w:r w:rsidRPr="00B75310">
        <w:rPr>
          <w:rFonts w:eastAsia="Times New Roman"/>
          <w:color w:val="000000"/>
        </w:rPr>
        <w:t xml:space="preserve"> .</w:t>
      </w:r>
      <w:r>
        <w:rPr>
          <w:rFonts w:eastAsia="Times New Roman"/>
          <w:color w:val="000000"/>
        </w:rPr>
        <w:t xml:space="preserve"> </w:t>
      </w:r>
    </w:p>
    <w:p w:rsidR="001D5833" w:rsidRDefault="001D5833" w:rsidP="001D5833">
      <w:pPr>
        <w:snapToGrid w:val="0"/>
        <w:spacing w:after="0" w:line="240" w:lineRule="auto"/>
        <w:jc w:val="both"/>
        <w:rPr>
          <w:rFonts w:eastAsia="Times New Roman"/>
          <w:color w:val="000000"/>
        </w:rPr>
      </w:pPr>
    </w:p>
    <w:p w:rsidR="001D5833" w:rsidRDefault="001D5833" w:rsidP="001D5833">
      <w:pPr>
        <w:snapToGrid w:val="0"/>
        <w:spacing w:after="0" w:line="240" w:lineRule="auto"/>
        <w:jc w:val="both"/>
        <w:rPr>
          <w:rFonts w:eastAsia="Times New Roman"/>
          <w:color w:val="000000"/>
        </w:rPr>
      </w:pPr>
      <w:r>
        <w:rPr>
          <w:rFonts w:eastAsia="Times New Roman"/>
          <w:color w:val="000000"/>
        </w:rPr>
        <w:t xml:space="preserve">Hong Kong’s ETF market began in 1999 with the launch of the </w:t>
      </w:r>
      <w:r w:rsidRPr="0073316B">
        <w:rPr>
          <w:rFonts w:eastAsia="Times New Roman"/>
          <w:color w:val="000000"/>
          <w:lang w:val="en-US"/>
        </w:rPr>
        <w:t xml:space="preserve">Hong Kong Government’s Tracker Fund of Hong Kong, which remains one of Hong Kong’s most actively traded ETFs. </w:t>
      </w:r>
      <w:r>
        <w:rPr>
          <w:rFonts w:eastAsia="Times New Roman"/>
          <w:color w:val="000000"/>
          <w:lang w:val="en-US"/>
        </w:rPr>
        <w:t xml:space="preserve">Today, the </w:t>
      </w:r>
      <w:r w:rsidRPr="002E44BA">
        <w:rPr>
          <w:rFonts w:eastAsia="Times New Roman"/>
          <w:color w:val="000000"/>
          <w:lang w:val="en-US"/>
        </w:rPr>
        <w:t>majority of Hong Kong’s ETFs are equity, RQFII (</w:t>
      </w:r>
      <w:proofErr w:type="spellStart"/>
      <w:r w:rsidRPr="002E44BA">
        <w:rPr>
          <w:rFonts w:eastAsia="Times New Roman"/>
          <w:color w:val="000000"/>
          <w:lang w:val="en-US"/>
        </w:rPr>
        <w:t>Renminbi</w:t>
      </w:r>
      <w:proofErr w:type="spellEnd"/>
      <w:r w:rsidRPr="002E44BA">
        <w:rPr>
          <w:rFonts w:eastAsia="Times New Roman"/>
          <w:color w:val="000000"/>
          <w:lang w:val="en-US"/>
        </w:rPr>
        <w:t xml:space="preserve"> Qualified Foreign Institutional Investors) A-share and synthetic A-share ETFs. </w:t>
      </w:r>
      <w:r>
        <w:rPr>
          <w:rFonts w:eastAsia="Times New Roman"/>
          <w:color w:val="000000"/>
          <w:lang w:val="en-US"/>
        </w:rPr>
        <w:t xml:space="preserve">Recent years have also seen more international ETF fund managers listing in Hong Kong. US-based Vanguard Investments, for example, has five Hong Kong listed </w:t>
      </w:r>
      <w:r>
        <w:rPr>
          <w:rFonts w:eastAsia="Times New Roman"/>
          <w:color w:val="000000"/>
        </w:rPr>
        <w:t xml:space="preserve">ETFs and in 2014, the first Canadian ETF fund manager, BMO Asset Management (Asia) listed three ETFs in Hong Kong. </w:t>
      </w:r>
    </w:p>
    <w:p w:rsidR="001D5833" w:rsidRDefault="001D5833" w:rsidP="001D5833">
      <w:pPr>
        <w:snapToGrid w:val="0"/>
        <w:spacing w:after="0" w:line="240" w:lineRule="auto"/>
        <w:jc w:val="both"/>
        <w:rPr>
          <w:rFonts w:eastAsia="Times New Roman"/>
          <w:color w:val="000000"/>
        </w:rPr>
      </w:pPr>
    </w:p>
    <w:p w:rsidR="001D5833" w:rsidRDefault="001D5833" w:rsidP="001D5833">
      <w:pPr>
        <w:snapToGrid w:val="0"/>
        <w:spacing w:after="0" w:line="240" w:lineRule="auto"/>
        <w:jc w:val="both"/>
        <w:rPr>
          <w:rFonts w:eastAsia="Times New Roman"/>
          <w:color w:val="000000"/>
        </w:rPr>
      </w:pPr>
      <w:r>
        <w:rPr>
          <w:rFonts w:eastAsia="Times New Roman"/>
          <w:color w:val="000000"/>
        </w:rPr>
        <w:t xml:space="preserve">ETFs listed on the </w:t>
      </w:r>
      <w:r w:rsidRPr="005F098A">
        <w:rPr>
          <w:rFonts w:eastAsia="Times New Roman"/>
          <w:color w:val="000000"/>
        </w:rPr>
        <w:t>HKSE</w:t>
      </w:r>
      <w:r>
        <w:rPr>
          <w:rFonts w:eastAsia="Times New Roman"/>
          <w:color w:val="000000"/>
        </w:rPr>
        <w:t xml:space="preserve"> are typically passively-managed open-ended funds which track or replicate the performance of an underlying index. The index can be on a stock market, a segment of a stock market, a group of stock markets, bonds or commodities, although some Hong Kong-listed ETFs track the performance of a single commodity (e.g. gold) and offer investors an efficient way to obtain cost-effective exposure to the underlying assets, normally through their brokers. 2016 saw the launch of several new kinds of ETFs including products tracking crude oil futures, leveraged and inverse products tracking South Korean, Japanese and US benchmarks. The first ETF tracking the real estate sector was also established in 2016.</w:t>
      </w:r>
      <w:r>
        <w:rPr>
          <w:rStyle w:val="FootnoteReference"/>
          <w:rFonts w:eastAsia="Times New Roman"/>
          <w:color w:val="000000"/>
        </w:rPr>
        <w:footnoteReference w:id="2"/>
      </w:r>
      <w:r>
        <w:rPr>
          <w:rFonts w:eastAsia="Times New Roman"/>
          <w:color w:val="000000"/>
        </w:rPr>
        <w:t xml:space="preserve"> Key features of ETFs on the HKSE are:</w:t>
      </w:r>
    </w:p>
    <w:p w:rsidR="001D5833" w:rsidRDefault="001D5833" w:rsidP="001D5833">
      <w:pPr>
        <w:snapToGrid w:val="0"/>
        <w:spacing w:after="0" w:line="240" w:lineRule="auto"/>
        <w:jc w:val="both"/>
        <w:rPr>
          <w:rFonts w:eastAsia="Times New Roman"/>
          <w:color w:val="000000"/>
        </w:rPr>
      </w:pPr>
    </w:p>
    <w:p w:rsidR="001D5833" w:rsidRDefault="001D5833" w:rsidP="001D5833">
      <w:pPr>
        <w:numPr>
          <w:ilvl w:val="0"/>
          <w:numId w:val="2"/>
        </w:numPr>
        <w:snapToGrid w:val="0"/>
        <w:spacing w:after="0" w:line="240" w:lineRule="auto"/>
        <w:jc w:val="both"/>
        <w:rPr>
          <w:rFonts w:eastAsia="Times New Roman"/>
          <w:color w:val="000000"/>
        </w:rPr>
      </w:pPr>
      <w:r>
        <w:rPr>
          <w:rFonts w:eastAsia="Times New Roman"/>
          <w:color w:val="000000"/>
        </w:rPr>
        <w:t>benchmark tracking: ETFs are passively managed funds which track closely the performance of underlying benchmarks:</w:t>
      </w:r>
    </w:p>
    <w:p w:rsidR="001D5833" w:rsidRDefault="001D5833" w:rsidP="001D5833">
      <w:pPr>
        <w:snapToGrid w:val="0"/>
        <w:spacing w:after="0" w:line="240" w:lineRule="auto"/>
        <w:ind w:left="720"/>
        <w:jc w:val="both"/>
        <w:rPr>
          <w:rFonts w:eastAsia="Times New Roman"/>
          <w:color w:val="000000"/>
        </w:rPr>
      </w:pPr>
    </w:p>
    <w:p w:rsidR="001D5833" w:rsidRDefault="001D5833" w:rsidP="001D5833">
      <w:pPr>
        <w:numPr>
          <w:ilvl w:val="0"/>
          <w:numId w:val="2"/>
        </w:numPr>
        <w:snapToGrid w:val="0"/>
        <w:spacing w:after="0" w:line="240" w:lineRule="auto"/>
        <w:jc w:val="both"/>
        <w:rPr>
          <w:rFonts w:eastAsia="Times New Roman"/>
          <w:color w:val="000000"/>
        </w:rPr>
      </w:pPr>
      <w:r w:rsidRPr="00EF13BC">
        <w:rPr>
          <w:rFonts w:eastAsia="Times New Roman"/>
          <w:color w:val="000000"/>
        </w:rPr>
        <w:t>transparency:</w:t>
      </w:r>
      <w:r>
        <w:rPr>
          <w:rFonts w:eastAsia="Times New Roman"/>
          <w:color w:val="000000"/>
        </w:rPr>
        <w:t xml:space="preserve"> </w:t>
      </w:r>
      <w:r w:rsidRPr="00EF13BC">
        <w:rPr>
          <w:rFonts w:eastAsia="Times New Roman"/>
          <w:color w:val="000000"/>
        </w:rPr>
        <w:t>ETFs are required to have a webs</w:t>
      </w:r>
      <w:r>
        <w:rPr>
          <w:rFonts w:eastAsia="Times New Roman"/>
          <w:color w:val="000000"/>
        </w:rPr>
        <w:t>ite operated by the ETF manager which provides key information such as underlying benchmarks, the ETF’s Net Asset Value (NAV) calculated intra-day during trading hours, real-time and delayed price quotes etc.;</w:t>
      </w:r>
    </w:p>
    <w:p w:rsidR="001D5833" w:rsidRDefault="001D5833" w:rsidP="001D5833">
      <w:pPr>
        <w:snapToGrid w:val="0"/>
        <w:spacing w:after="0" w:line="240" w:lineRule="auto"/>
        <w:ind w:left="720"/>
        <w:jc w:val="both"/>
        <w:rPr>
          <w:rFonts w:eastAsia="Times New Roman"/>
          <w:color w:val="000000"/>
        </w:rPr>
      </w:pPr>
    </w:p>
    <w:p w:rsidR="001D5833" w:rsidRDefault="001D5833" w:rsidP="001D5833">
      <w:pPr>
        <w:numPr>
          <w:ilvl w:val="0"/>
          <w:numId w:val="2"/>
        </w:numPr>
        <w:snapToGrid w:val="0"/>
        <w:spacing w:after="0" w:line="240" w:lineRule="auto"/>
        <w:jc w:val="both"/>
        <w:rPr>
          <w:rFonts w:eastAsia="Times New Roman"/>
          <w:color w:val="000000"/>
        </w:rPr>
      </w:pPr>
      <w:r>
        <w:rPr>
          <w:rFonts w:eastAsia="Times New Roman"/>
          <w:color w:val="000000"/>
        </w:rPr>
        <w:t>low transaction costs: ETFs do not charge subscription fees and transaction costs are the same as for trading other securities (i.e. brokerage commission, transaction levy, trading fee, trading tariff and, if applicable, stamp duty);</w:t>
      </w:r>
    </w:p>
    <w:p w:rsidR="001D5833" w:rsidRDefault="001D5833" w:rsidP="001D5833">
      <w:pPr>
        <w:snapToGrid w:val="0"/>
        <w:spacing w:after="0" w:line="240" w:lineRule="auto"/>
        <w:ind w:left="720"/>
        <w:jc w:val="both"/>
        <w:rPr>
          <w:rFonts w:eastAsia="Times New Roman"/>
          <w:color w:val="000000"/>
        </w:rPr>
      </w:pPr>
    </w:p>
    <w:p w:rsidR="001D5833" w:rsidRDefault="001D5833" w:rsidP="001D5833">
      <w:pPr>
        <w:numPr>
          <w:ilvl w:val="0"/>
          <w:numId w:val="2"/>
        </w:numPr>
        <w:snapToGrid w:val="0"/>
        <w:spacing w:after="0" w:line="240" w:lineRule="auto"/>
        <w:jc w:val="both"/>
        <w:rPr>
          <w:rFonts w:eastAsia="Times New Roman"/>
          <w:color w:val="000000"/>
        </w:rPr>
      </w:pPr>
      <w:r>
        <w:rPr>
          <w:rFonts w:eastAsia="Times New Roman"/>
          <w:color w:val="000000"/>
        </w:rPr>
        <w:t>low minimum investment: traded in board lots and the minimum initial investment is usually set (by the ETF manager) at an affordable level;</w:t>
      </w:r>
    </w:p>
    <w:p w:rsidR="001D5833" w:rsidRDefault="001D5833" w:rsidP="001D5833">
      <w:pPr>
        <w:snapToGrid w:val="0"/>
        <w:spacing w:after="0" w:line="240" w:lineRule="auto"/>
        <w:ind w:left="720"/>
        <w:jc w:val="both"/>
        <w:rPr>
          <w:rFonts w:eastAsia="Times New Roman"/>
          <w:color w:val="000000"/>
        </w:rPr>
      </w:pPr>
    </w:p>
    <w:p w:rsidR="001D5833" w:rsidRDefault="001D5833" w:rsidP="001D5833">
      <w:pPr>
        <w:numPr>
          <w:ilvl w:val="0"/>
          <w:numId w:val="2"/>
        </w:numPr>
        <w:snapToGrid w:val="0"/>
        <w:spacing w:after="0" w:line="240" w:lineRule="auto"/>
        <w:jc w:val="both"/>
        <w:rPr>
          <w:rFonts w:eastAsia="Times New Roman"/>
          <w:color w:val="000000"/>
        </w:rPr>
      </w:pPr>
      <w:r>
        <w:rPr>
          <w:rFonts w:eastAsia="Times New Roman"/>
          <w:color w:val="000000"/>
        </w:rPr>
        <w:t>liquidity: ETFs can be traded any time during trading hours and there are usually market makers (Securities Market Makers) who provide liquidity during Continuous Trading Sessions; and</w:t>
      </w:r>
    </w:p>
    <w:p w:rsidR="001D5833" w:rsidRDefault="001D5833" w:rsidP="001D5833">
      <w:pPr>
        <w:pStyle w:val="ListParagraph"/>
        <w:spacing w:after="0" w:line="240" w:lineRule="auto"/>
        <w:rPr>
          <w:rFonts w:eastAsia="Times New Roman"/>
          <w:color w:val="000000"/>
        </w:rPr>
      </w:pPr>
    </w:p>
    <w:p w:rsidR="001D5833" w:rsidRDefault="001D5833" w:rsidP="001D5833">
      <w:pPr>
        <w:numPr>
          <w:ilvl w:val="0"/>
          <w:numId w:val="2"/>
        </w:numPr>
        <w:snapToGrid w:val="0"/>
        <w:spacing w:after="0" w:line="240" w:lineRule="auto"/>
        <w:jc w:val="both"/>
        <w:rPr>
          <w:rFonts w:eastAsia="Times New Roman"/>
          <w:color w:val="000000"/>
        </w:rPr>
      </w:pPr>
      <w:proofErr w:type="gramStart"/>
      <w:r>
        <w:rPr>
          <w:rFonts w:eastAsia="Times New Roman"/>
          <w:color w:val="000000"/>
        </w:rPr>
        <w:t>like</w:t>
      </w:r>
      <w:proofErr w:type="gramEnd"/>
      <w:r>
        <w:rPr>
          <w:rFonts w:eastAsia="Times New Roman"/>
          <w:color w:val="000000"/>
        </w:rPr>
        <w:t xml:space="preserve"> share trading, trades are settled on T+2 basis.</w:t>
      </w:r>
    </w:p>
    <w:p w:rsidR="001D5833" w:rsidRDefault="001D5833" w:rsidP="001D5833">
      <w:pPr>
        <w:snapToGrid w:val="0"/>
        <w:spacing w:after="0" w:line="240" w:lineRule="auto"/>
        <w:jc w:val="both"/>
        <w:rPr>
          <w:rFonts w:eastAsia="Times New Roman"/>
          <w:color w:val="000000"/>
        </w:rPr>
      </w:pPr>
    </w:p>
    <w:p w:rsidR="001D5833" w:rsidRDefault="001D5833" w:rsidP="001D5833">
      <w:pPr>
        <w:snapToGrid w:val="0"/>
        <w:spacing w:after="0" w:line="240" w:lineRule="auto"/>
        <w:jc w:val="both"/>
        <w:rPr>
          <w:rFonts w:eastAsia="Times New Roman"/>
          <w:color w:val="000000"/>
        </w:rPr>
      </w:pPr>
      <w:r>
        <w:rPr>
          <w:rFonts w:eastAsia="Times New Roman"/>
          <w:color w:val="000000"/>
        </w:rPr>
        <w:t xml:space="preserve">ETFs listed in Hong Kong can be either physical or synthetic. A </w:t>
      </w:r>
      <w:r w:rsidRPr="00E629A5">
        <w:rPr>
          <w:rFonts w:eastAsia="Times New Roman"/>
          <w:b/>
          <w:color w:val="000000"/>
        </w:rPr>
        <w:t>physical ETF</w:t>
      </w:r>
      <w:r>
        <w:rPr>
          <w:rFonts w:eastAsia="Times New Roman"/>
          <w:color w:val="000000"/>
        </w:rPr>
        <w:t xml:space="preserve"> will invest in the constituents of the underlying index in broadly the same proportions represented in the index (i.e. “full physical replication”). Alternatively, the ETF may invest in a portfolio which has a high degree of correlation with the underlying index (i.e. “representative sampling”). The use of sampling where certain securities in the portfolio are not constituent securities of the index is allowed if the portfolio matches the characteristics of the index.  </w:t>
      </w:r>
      <w:r w:rsidRPr="00E629A5">
        <w:rPr>
          <w:rFonts w:eastAsia="Times New Roman"/>
          <w:b/>
          <w:color w:val="000000"/>
        </w:rPr>
        <w:t>Synthetic ETFs</w:t>
      </w:r>
      <w:r>
        <w:rPr>
          <w:rFonts w:eastAsia="Times New Roman"/>
          <w:color w:val="000000"/>
        </w:rPr>
        <w:t xml:space="preserve"> do not invest in the constituents of the underlying index, but instead invest in financial derivative instruments to replicate the benchmark’s performance. ETFs are required to hold collateral when investing in derivatives. The net risk exposure of an ETF to a single counterparty cannot exceed 10% of NAV. </w:t>
      </w:r>
    </w:p>
    <w:p w:rsidR="001D5833" w:rsidRDefault="001D5833" w:rsidP="001D5833">
      <w:pPr>
        <w:pStyle w:val="ListParagraph"/>
        <w:snapToGrid w:val="0"/>
        <w:spacing w:after="0" w:line="240" w:lineRule="auto"/>
        <w:ind w:left="0"/>
        <w:contextualSpacing w:val="0"/>
        <w:jc w:val="both"/>
        <w:rPr>
          <w:rFonts w:eastAsia="Times New Roman"/>
          <w:color w:val="000000"/>
        </w:rPr>
      </w:pPr>
    </w:p>
    <w:p w:rsidR="001D5833" w:rsidRPr="00C135A1" w:rsidRDefault="001D5833" w:rsidP="001D5833">
      <w:pPr>
        <w:pStyle w:val="Heading1"/>
        <w:rPr>
          <w:rFonts w:ascii="Times New Roman" w:hAnsi="Times New Roman"/>
          <w:sz w:val="24"/>
          <w:szCs w:val="24"/>
        </w:rPr>
      </w:pPr>
      <w:bookmarkStart w:id="1" w:name="_Toc476841228"/>
      <w:r w:rsidRPr="00C135A1">
        <w:rPr>
          <w:rFonts w:ascii="Times New Roman" w:hAnsi="Times New Roman"/>
          <w:sz w:val="24"/>
          <w:szCs w:val="24"/>
        </w:rPr>
        <w:t>Hong Kong Regulatory Framework for ETFs</w:t>
      </w:r>
      <w:bookmarkEnd w:id="1"/>
    </w:p>
    <w:p w:rsidR="001D5833" w:rsidRDefault="001D5833" w:rsidP="001D5833">
      <w:pPr>
        <w:snapToGrid w:val="0"/>
        <w:spacing w:after="0" w:line="240" w:lineRule="auto"/>
        <w:jc w:val="both"/>
        <w:rPr>
          <w:rFonts w:eastAsia="Times New Roman"/>
          <w:color w:val="000000"/>
        </w:rPr>
      </w:pPr>
    </w:p>
    <w:p w:rsidR="001D5833" w:rsidRDefault="001D5833" w:rsidP="001D5833">
      <w:pPr>
        <w:snapToGrid w:val="0"/>
        <w:spacing w:after="0" w:line="240" w:lineRule="auto"/>
        <w:jc w:val="both"/>
        <w:rPr>
          <w:rFonts w:eastAsia="Times New Roman"/>
          <w:color w:val="000000"/>
        </w:rPr>
      </w:pPr>
      <w:r w:rsidRPr="003B2247">
        <w:rPr>
          <w:rFonts w:eastAsia="Times New Roman"/>
          <w:color w:val="000000"/>
        </w:rPr>
        <w:t xml:space="preserve">In Hong Kong, ETFs need </w:t>
      </w:r>
      <w:r>
        <w:rPr>
          <w:rFonts w:eastAsia="Times New Roman"/>
          <w:color w:val="000000"/>
        </w:rPr>
        <w:t>to apply to the Securities and Futures Commission (</w:t>
      </w:r>
      <w:r w:rsidRPr="005F098A">
        <w:rPr>
          <w:rFonts w:eastAsia="Times New Roman"/>
          <w:b/>
          <w:color w:val="000000"/>
        </w:rPr>
        <w:t>SFC</w:t>
      </w:r>
      <w:r>
        <w:rPr>
          <w:rFonts w:eastAsia="Times New Roman"/>
          <w:color w:val="000000"/>
        </w:rPr>
        <w:t>) for authoris</w:t>
      </w:r>
      <w:r w:rsidRPr="003B2247">
        <w:rPr>
          <w:rFonts w:eastAsia="Times New Roman"/>
          <w:color w:val="000000"/>
        </w:rPr>
        <w:t xml:space="preserve">ation </w:t>
      </w:r>
      <w:r>
        <w:rPr>
          <w:rFonts w:eastAsia="Times New Roman"/>
          <w:color w:val="000000"/>
        </w:rPr>
        <w:t>as collective investment schemes (</w:t>
      </w:r>
      <w:r w:rsidRPr="0007748B">
        <w:rPr>
          <w:rFonts w:eastAsia="Times New Roman"/>
          <w:b/>
          <w:color w:val="000000"/>
        </w:rPr>
        <w:t>CIS</w:t>
      </w:r>
      <w:r>
        <w:rPr>
          <w:rFonts w:eastAsia="Times New Roman"/>
          <w:color w:val="000000"/>
        </w:rPr>
        <w:t xml:space="preserve">) under </w:t>
      </w:r>
      <w:r w:rsidRPr="00045341">
        <w:rPr>
          <w:rFonts w:eastAsia="Times New Roman"/>
          <w:color w:val="000000"/>
        </w:rPr>
        <w:t>section 104 of the Securities and Futures Ordinance (Cap. 571 of the Laws of Hong Kong) (</w:t>
      </w:r>
      <w:r>
        <w:rPr>
          <w:rFonts w:eastAsia="Times New Roman"/>
          <w:color w:val="000000"/>
        </w:rPr>
        <w:t xml:space="preserve">the </w:t>
      </w:r>
      <w:r w:rsidRPr="00045341">
        <w:rPr>
          <w:rFonts w:eastAsia="Times New Roman"/>
          <w:b/>
          <w:color w:val="000000"/>
        </w:rPr>
        <w:t>SFO</w:t>
      </w:r>
      <w:r w:rsidRPr="00045341">
        <w:rPr>
          <w:rFonts w:eastAsia="Times New Roman"/>
          <w:color w:val="000000"/>
        </w:rPr>
        <w:t>)</w:t>
      </w:r>
      <w:r>
        <w:rPr>
          <w:rFonts w:eastAsia="Times New Roman"/>
          <w:color w:val="000000"/>
        </w:rPr>
        <w:t xml:space="preserve"> </w:t>
      </w:r>
      <w:r w:rsidRPr="003B2247">
        <w:rPr>
          <w:rFonts w:eastAsia="Times New Roman"/>
          <w:color w:val="000000"/>
        </w:rPr>
        <w:t xml:space="preserve">and to the </w:t>
      </w:r>
      <w:r>
        <w:rPr>
          <w:rFonts w:eastAsia="Times New Roman"/>
          <w:color w:val="000000"/>
        </w:rPr>
        <w:t>HKSE</w:t>
      </w:r>
      <w:r w:rsidRPr="003B2247">
        <w:rPr>
          <w:rFonts w:eastAsia="Times New Roman"/>
          <w:color w:val="000000"/>
        </w:rPr>
        <w:t xml:space="preserve"> for listing under Chapter 20 of the</w:t>
      </w:r>
      <w:r>
        <w:rPr>
          <w:rFonts w:eastAsia="Times New Roman"/>
          <w:color w:val="000000"/>
        </w:rPr>
        <w:t xml:space="preserve"> HKSE</w:t>
      </w:r>
      <w:r w:rsidRPr="003B2247">
        <w:rPr>
          <w:rFonts w:eastAsia="Times New Roman"/>
          <w:color w:val="000000"/>
        </w:rPr>
        <w:t xml:space="preserve">’s </w:t>
      </w:r>
      <w:r>
        <w:rPr>
          <w:rFonts w:eastAsia="Times New Roman"/>
          <w:color w:val="000000"/>
        </w:rPr>
        <w:t xml:space="preserve">Rules Governing the Listing of Securities </w:t>
      </w:r>
      <w:r w:rsidRPr="003B2247">
        <w:rPr>
          <w:rFonts w:eastAsia="Times New Roman"/>
          <w:color w:val="000000"/>
        </w:rPr>
        <w:t>(</w:t>
      </w:r>
      <w:r w:rsidRPr="003B2247">
        <w:rPr>
          <w:rFonts w:eastAsia="Times New Roman"/>
          <w:b/>
          <w:bCs/>
          <w:color w:val="000000"/>
        </w:rPr>
        <w:t>Listing Rules</w:t>
      </w:r>
      <w:r w:rsidRPr="003B2247">
        <w:rPr>
          <w:rFonts w:eastAsia="Times New Roman"/>
          <w:color w:val="000000"/>
        </w:rPr>
        <w:t xml:space="preserve">). </w:t>
      </w:r>
      <w:r>
        <w:rPr>
          <w:rFonts w:eastAsia="Times New Roman"/>
          <w:color w:val="000000"/>
        </w:rPr>
        <w:t xml:space="preserve">In the past, application for SFC </w:t>
      </w:r>
      <w:r w:rsidRPr="0007748B">
        <w:rPr>
          <w:rFonts w:eastAsia="Times New Roman"/>
          <w:color w:val="000000"/>
        </w:rPr>
        <w:t>authorisation</w:t>
      </w:r>
      <w:r w:rsidRPr="003B2247">
        <w:rPr>
          <w:rFonts w:eastAsia="Times New Roman"/>
          <w:color w:val="000000"/>
        </w:rPr>
        <w:t xml:space="preserve"> </w:t>
      </w:r>
      <w:r>
        <w:rPr>
          <w:rFonts w:eastAsia="Times New Roman"/>
          <w:color w:val="000000"/>
        </w:rPr>
        <w:t xml:space="preserve">was required to be </w:t>
      </w:r>
      <w:r w:rsidRPr="003B2247">
        <w:rPr>
          <w:rFonts w:eastAsia="Times New Roman"/>
          <w:color w:val="000000"/>
        </w:rPr>
        <w:t>made first, and after obtaining “approval in pri</w:t>
      </w:r>
      <w:bookmarkStart w:id="2" w:name="_GoBack"/>
      <w:bookmarkEnd w:id="2"/>
      <w:r w:rsidRPr="003B2247">
        <w:rPr>
          <w:rFonts w:eastAsia="Times New Roman"/>
          <w:color w:val="000000"/>
        </w:rPr>
        <w:t>nciple” from the SFC, a formal listing applic</w:t>
      </w:r>
      <w:r>
        <w:rPr>
          <w:rFonts w:eastAsia="Times New Roman"/>
          <w:color w:val="000000"/>
        </w:rPr>
        <w:t>ation for listing of the ETF was</w:t>
      </w:r>
      <w:r w:rsidRPr="003B2247">
        <w:rPr>
          <w:rFonts w:eastAsia="Times New Roman"/>
          <w:color w:val="000000"/>
        </w:rPr>
        <w:t xml:space="preserve"> submitted to the</w:t>
      </w:r>
      <w:r>
        <w:rPr>
          <w:rFonts w:eastAsia="Times New Roman"/>
          <w:color w:val="000000"/>
        </w:rPr>
        <w:t xml:space="preserve"> HKSE</w:t>
      </w:r>
      <w:r w:rsidRPr="003B2247">
        <w:rPr>
          <w:rFonts w:eastAsia="Times New Roman"/>
          <w:color w:val="000000"/>
        </w:rPr>
        <w:t>.</w:t>
      </w:r>
    </w:p>
    <w:p w:rsidR="001D5833" w:rsidRDefault="001D5833" w:rsidP="001D5833">
      <w:pPr>
        <w:snapToGrid w:val="0"/>
        <w:spacing w:after="0" w:line="240" w:lineRule="auto"/>
        <w:jc w:val="both"/>
        <w:rPr>
          <w:rFonts w:eastAsia="Times New Roman"/>
          <w:color w:val="000000"/>
        </w:rPr>
      </w:pPr>
    </w:p>
    <w:p w:rsidR="001D5833" w:rsidRPr="00690A68" w:rsidRDefault="001D5833" w:rsidP="001D5833">
      <w:pPr>
        <w:snapToGrid w:val="0"/>
        <w:spacing w:after="0" w:line="240" w:lineRule="auto"/>
        <w:jc w:val="both"/>
        <w:rPr>
          <w:rFonts w:eastAsia="Times New Roman"/>
          <w:color w:val="000000"/>
        </w:rPr>
      </w:pPr>
      <w:r w:rsidRPr="00690A68">
        <w:rPr>
          <w:rFonts w:eastAsia="Times New Roman"/>
          <w:color w:val="000000"/>
        </w:rPr>
        <w:t xml:space="preserve">Where a new CIS applicant has appointed a listing agent which is required to discharge the functions equivalent to those of a sponsor, the CIS must publish an Application Proof of its listing document on the </w:t>
      </w:r>
      <w:r>
        <w:rPr>
          <w:rFonts w:eastAsia="Times New Roman"/>
          <w:color w:val="000000"/>
        </w:rPr>
        <w:t>HKSE</w:t>
      </w:r>
      <w:r w:rsidRPr="00690A68">
        <w:rPr>
          <w:rFonts w:eastAsia="Times New Roman"/>
          <w:color w:val="000000"/>
        </w:rPr>
        <w:t>’s website at the same time as the CIS applicant files an application for authorisation with the SFC</w:t>
      </w:r>
      <w:r>
        <w:rPr>
          <w:rFonts w:eastAsia="Times New Roman"/>
          <w:color w:val="000000"/>
        </w:rPr>
        <w:t xml:space="preserve"> (paragraph 9 of Practice Note 22 to the Listing Rules)</w:t>
      </w:r>
      <w:r w:rsidRPr="00690A68">
        <w:rPr>
          <w:rFonts w:eastAsia="Times New Roman"/>
          <w:color w:val="000000"/>
        </w:rPr>
        <w:t>.  A Post Hearing Information Pack (“</w:t>
      </w:r>
      <w:r w:rsidRPr="0007748B">
        <w:rPr>
          <w:rFonts w:eastAsia="Times New Roman"/>
          <w:b/>
          <w:color w:val="000000"/>
        </w:rPr>
        <w:t>PHIP</w:t>
      </w:r>
      <w:r w:rsidRPr="00690A68">
        <w:rPr>
          <w:rFonts w:eastAsia="Times New Roman"/>
          <w:color w:val="000000"/>
        </w:rPr>
        <w:t>”) must be submitted for publication on the Exchange’s website upon receipt of an approval in principle letter from the SFC together with a request to post a PHIP</w:t>
      </w:r>
      <w:r>
        <w:rPr>
          <w:rFonts w:eastAsia="Times New Roman"/>
          <w:color w:val="000000"/>
        </w:rPr>
        <w:t xml:space="preserve"> (paragraph 12 of Practice Note 22 to the Listing Rules)</w:t>
      </w:r>
      <w:r w:rsidRPr="00690A68">
        <w:rPr>
          <w:rFonts w:eastAsia="Times New Roman"/>
          <w:color w:val="000000"/>
        </w:rPr>
        <w:t>.</w:t>
      </w:r>
    </w:p>
    <w:p w:rsidR="001D5833" w:rsidRPr="003C1FF1" w:rsidRDefault="001D5833" w:rsidP="001D5833">
      <w:pPr>
        <w:pStyle w:val="ListParagraph"/>
        <w:snapToGrid w:val="0"/>
        <w:spacing w:after="0" w:line="240" w:lineRule="auto"/>
        <w:ind w:left="0"/>
        <w:contextualSpacing w:val="0"/>
        <w:jc w:val="both"/>
        <w:rPr>
          <w:b/>
          <w:color w:val="FF0000"/>
        </w:rPr>
      </w:pPr>
    </w:p>
    <w:p w:rsidR="001D5833" w:rsidRDefault="001D5833" w:rsidP="001D5833">
      <w:pPr>
        <w:pStyle w:val="ListParagraph"/>
        <w:snapToGrid w:val="0"/>
        <w:spacing w:after="0" w:line="240" w:lineRule="auto"/>
        <w:ind w:left="0"/>
        <w:contextualSpacing w:val="0"/>
        <w:jc w:val="both"/>
      </w:pPr>
      <w:r>
        <w:t xml:space="preserve">The HKSE will normally grant a listing to ETFs authorised as CIS by the SFC, although SFC authorisation does not guarantee a listing and the HKSE reserves the discretion to accept or reject a listing of authorised CIS. </w:t>
      </w:r>
    </w:p>
    <w:p w:rsidR="001D5833" w:rsidRDefault="001D5833" w:rsidP="001D5833">
      <w:pPr>
        <w:pStyle w:val="ListParagraph"/>
        <w:snapToGrid w:val="0"/>
        <w:spacing w:after="0" w:line="240" w:lineRule="auto"/>
        <w:ind w:left="0"/>
        <w:contextualSpacing w:val="0"/>
        <w:jc w:val="both"/>
      </w:pPr>
    </w:p>
    <w:p w:rsidR="001D5833" w:rsidRPr="00C135A1" w:rsidRDefault="001D5833" w:rsidP="001D5833">
      <w:pPr>
        <w:pStyle w:val="Heading1"/>
        <w:rPr>
          <w:rFonts w:ascii="Times New Roman" w:hAnsi="Times New Roman"/>
          <w:sz w:val="24"/>
          <w:szCs w:val="24"/>
        </w:rPr>
      </w:pPr>
      <w:bookmarkStart w:id="3" w:name="_Toc476841229"/>
      <w:r w:rsidRPr="00C135A1">
        <w:rPr>
          <w:rFonts w:ascii="Times New Roman" w:hAnsi="Times New Roman"/>
          <w:sz w:val="24"/>
          <w:szCs w:val="24"/>
        </w:rPr>
        <w:t>SFC Authorisation of an ETF</w:t>
      </w:r>
      <w:bookmarkEnd w:id="3"/>
    </w:p>
    <w:p w:rsidR="001D5833" w:rsidRDefault="001D5833" w:rsidP="001D5833">
      <w:pPr>
        <w:pStyle w:val="ListParagraph"/>
        <w:snapToGrid w:val="0"/>
        <w:spacing w:after="0" w:line="240" w:lineRule="auto"/>
        <w:ind w:left="0"/>
        <w:contextualSpacing w:val="0"/>
        <w:jc w:val="both"/>
        <w:rPr>
          <w:b/>
        </w:rPr>
      </w:pPr>
    </w:p>
    <w:p w:rsidR="001D5833" w:rsidRDefault="001D5833" w:rsidP="001D5833">
      <w:pPr>
        <w:pStyle w:val="ListParagraph"/>
        <w:snapToGrid w:val="0"/>
        <w:spacing w:after="0" w:line="240" w:lineRule="auto"/>
        <w:ind w:left="0"/>
        <w:contextualSpacing w:val="0"/>
        <w:jc w:val="both"/>
      </w:pPr>
      <w:r>
        <w:t>Procedures and requirements relating to seeking authorisation of CIS from the SFC are set out in the Code on Unit Trusts and Mutual Funds (the “</w:t>
      </w:r>
      <w:r>
        <w:rPr>
          <w:b/>
        </w:rPr>
        <w:t>Code</w:t>
      </w:r>
      <w:r>
        <w:t>”). An ETF is required to meet the general requirements for CIS set out in the Code in addition to specific requirements set out in Chapter 8.6 of the Code</w:t>
      </w:r>
      <w:r>
        <w:rPr>
          <w:lang w:val="en-US"/>
        </w:rPr>
        <w:t>.</w:t>
      </w:r>
      <w:r w:rsidRPr="00045341">
        <w:rPr>
          <w:lang w:val="en-US"/>
        </w:rPr>
        <w:t xml:space="preserve"> </w:t>
      </w:r>
      <w:r>
        <w:t xml:space="preserve"> </w:t>
      </w:r>
    </w:p>
    <w:p w:rsidR="001D5833" w:rsidRDefault="001D5833" w:rsidP="001D5833">
      <w:pPr>
        <w:pStyle w:val="ListParagraph"/>
        <w:snapToGrid w:val="0"/>
        <w:spacing w:after="0" w:line="240" w:lineRule="auto"/>
        <w:ind w:left="0"/>
        <w:contextualSpacing w:val="0"/>
        <w:jc w:val="both"/>
      </w:pPr>
    </w:p>
    <w:p w:rsidR="001D5833" w:rsidRPr="00E629A5" w:rsidRDefault="001D5833" w:rsidP="001D5833">
      <w:pPr>
        <w:pStyle w:val="ListParagraph"/>
        <w:snapToGrid w:val="0"/>
        <w:spacing w:after="0" w:line="240" w:lineRule="auto"/>
        <w:ind w:left="0"/>
        <w:contextualSpacing w:val="0"/>
        <w:jc w:val="both"/>
        <w:rPr>
          <w:u w:val="single"/>
        </w:rPr>
      </w:pPr>
      <w:r w:rsidRPr="00E629A5">
        <w:rPr>
          <w:u w:val="single"/>
        </w:rPr>
        <w:t>General Requirements for CIS</w:t>
      </w:r>
    </w:p>
    <w:p w:rsidR="001D5833" w:rsidRDefault="001D5833" w:rsidP="001D5833">
      <w:pPr>
        <w:pStyle w:val="ListParagraph"/>
        <w:snapToGrid w:val="0"/>
        <w:spacing w:after="0" w:line="240" w:lineRule="auto"/>
        <w:ind w:left="0"/>
        <w:contextualSpacing w:val="0"/>
        <w:jc w:val="both"/>
        <w:rPr>
          <w:i/>
        </w:rPr>
      </w:pPr>
    </w:p>
    <w:p w:rsidR="001D5833" w:rsidRPr="00E629A5" w:rsidRDefault="001D5833" w:rsidP="001D5833">
      <w:pPr>
        <w:pStyle w:val="ListParagraph"/>
        <w:snapToGrid w:val="0"/>
        <w:spacing w:after="0" w:line="240" w:lineRule="auto"/>
        <w:ind w:left="0"/>
        <w:contextualSpacing w:val="0"/>
        <w:jc w:val="both"/>
        <w:rPr>
          <w:i/>
        </w:rPr>
      </w:pPr>
      <w:r w:rsidRPr="00E629A5">
        <w:rPr>
          <w:i/>
        </w:rPr>
        <w:t>Application</w:t>
      </w:r>
    </w:p>
    <w:p w:rsidR="001D5833" w:rsidRDefault="001D5833" w:rsidP="001D5833">
      <w:pPr>
        <w:pStyle w:val="ListParagraph"/>
        <w:snapToGrid w:val="0"/>
        <w:spacing w:after="0" w:line="240" w:lineRule="auto"/>
        <w:ind w:left="0"/>
        <w:contextualSpacing w:val="0"/>
        <w:jc w:val="both"/>
      </w:pPr>
    </w:p>
    <w:p w:rsidR="001D5833" w:rsidRDefault="001D5833" w:rsidP="001D5833">
      <w:pPr>
        <w:pStyle w:val="ListParagraph"/>
        <w:snapToGrid w:val="0"/>
        <w:spacing w:after="0" w:line="240" w:lineRule="auto"/>
        <w:ind w:left="0"/>
        <w:contextualSpacing w:val="0"/>
        <w:jc w:val="both"/>
      </w:pPr>
      <w:r>
        <w:t>An application for authorisation of a CIS must submit a completed application form and an information checklist as set out on the SFC’s website and must be accompanied by the following</w:t>
      </w:r>
      <w:r w:rsidR="00817292">
        <w:t xml:space="preserve"> and such other documents as may be required by the SFC from time to time</w:t>
      </w:r>
      <w:r w:rsidR="00817292">
        <w:rPr>
          <w:rStyle w:val="FootnoteReference"/>
        </w:rPr>
        <w:footnoteReference w:id="3"/>
      </w:r>
      <w:r>
        <w:t>:</w:t>
      </w:r>
    </w:p>
    <w:p w:rsidR="001D5833" w:rsidRDefault="001D5833" w:rsidP="001D5833">
      <w:pPr>
        <w:pStyle w:val="ListParagraph"/>
        <w:snapToGrid w:val="0"/>
        <w:spacing w:after="0" w:line="240" w:lineRule="auto"/>
        <w:ind w:left="0"/>
        <w:contextualSpacing w:val="0"/>
        <w:jc w:val="both"/>
      </w:pPr>
    </w:p>
    <w:p w:rsidR="001D5833" w:rsidRDefault="001D5833" w:rsidP="001D5833">
      <w:pPr>
        <w:pStyle w:val="ListParagraph"/>
        <w:numPr>
          <w:ilvl w:val="0"/>
          <w:numId w:val="3"/>
        </w:numPr>
        <w:snapToGrid w:val="0"/>
        <w:spacing w:after="0" w:line="240" w:lineRule="auto"/>
        <w:contextualSpacing w:val="0"/>
        <w:jc w:val="both"/>
      </w:pPr>
      <w:r>
        <w:t>scheme offering and constitutive documents (including a product key facts statement (</w:t>
      </w:r>
      <w:r w:rsidRPr="005C5140">
        <w:rPr>
          <w:b/>
        </w:rPr>
        <w:t>KFS</w:t>
      </w:r>
      <w:r>
        <w:t>));</w:t>
      </w:r>
    </w:p>
    <w:p w:rsidR="001D5833" w:rsidRDefault="001D5833" w:rsidP="001D5833">
      <w:pPr>
        <w:pStyle w:val="ListParagraph"/>
        <w:numPr>
          <w:ilvl w:val="0"/>
          <w:numId w:val="3"/>
        </w:numPr>
        <w:snapToGrid w:val="0"/>
        <w:spacing w:after="0" w:line="240" w:lineRule="auto"/>
        <w:contextualSpacing w:val="0"/>
        <w:jc w:val="both"/>
      </w:pPr>
      <w:r>
        <w:t>the application fee in the form of a cheque payable to the SFC;</w:t>
      </w:r>
    </w:p>
    <w:p w:rsidR="001D5833" w:rsidRDefault="001D5833" w:rsidP="001D5833">
      <w:pPr>
        <w:pStyle w:val="ListParagraph"/>
        <w:numPr>
          <w:ilvl w:val="0"/>
          <w:numId w:val="3"/>
        </w:numPr>
        <w:snapToGrid w:val="0"/>
        <w:spacing w:after="0" w:line="240" w:lineRule="auto"/>
        <w:contextualSpacing w:val="0"/>
        <w:jc w:val="both"/>
      </w:pPr>
      <w:r>
        <w:t>a letter nominating an individual to be approved by the SFC as an approved person (for the purpose of servicing notices and decisions relating to the scheme, advertisements and documents etc.) including his details</w:t>
      </w:r>
      <w:r w:rsidR="00817292">
        <w:t xml:space="preserve"> (his name, employer, position held and contact details, including the address, telephone and facsimile numbers and electronic mail address)</w:t>
      </w:r>
      <w:r>
        <w:t xml:space="preserve"> in accordance with requirements; and</w:t>
      </w:r>
    </w:p>
    <w:p w:rsidR="001D5833" w:rsidRDefault="001D5833" w:rsidP="001D5833">
      <w:pPr>
        <w:pStyle w:val="ListParagraph"/>
        <w:numPr>
          <w:ilvl w:val="0"/>
          <w:numId w:val="3"/>
        </w:numPr>
        <w:snapToGrid w:val="0"/>
        <w:spacing w:after="0" w:line="240" w:lineRule="auto"/>
        <w:contextualSpacing w:val="0"/>
        <w:jc w:val="both"/>
      </w:pPr>
      <w:r>
        <w:t>(</w:t>
      </w:r>
      <w:proofErr w:type="gramStart"/>
      <w:r>
        <w:t>for</w:t>
      </w:r>
      <w:proofErr w:type="gramEnd"/>
      <w:r>
        <w:t xml:space="preserve"> non-Hong Kong-based schemes i.e. </w:t>
      </w:r>
      <w:r w:rsidRPr="00560815">
        <w:t>if the management company is not incorporated or does not have a place of business in Hong Kong</w:t>
      </w:r>
      <w:r>
        <w:t xml:space="preserve">) a </w:t>
      </w:r>
      <w:r w:rsidR="00817292">
        <w:t>written undertaking from the Hong Kong Representative</w:t>
      </w:r>
      <w:r>
        <w:t>.</w:t>
      </w:r>
    </w:p>
    <w:p w:rsidR="001D5833" w:rsidRDefault="001D5833" w:rsidP="001D5833">
      <w:pPr>
        <w:pStyle w:val="ListParagraph"/>
        <w:snapToGrid w:val="0"/>
        <w:spacing w:after="0" w:line="240" w:lineRule="auto"/>
        <w:ind w:left="0"/>
        <w:contextualSpacing w:val="0"/>
        <w:jc w:val="both"/>
      </w:pPr>
    </w:p>
    <w:p w:rsidR="001D5833" w:rsidRPr="00E629A5" w:rsidRDefault="001D5833" w:rsidP="001D5833">
      <w:pPr>
        <w:pStyle w:val="ListParagraph"/>
        <w:snapToGrid w:val="0"/>
        <w:spacing w:after="0" w:line="240" w:lineRule="auto"/>
        <w:ind w:left="0"/>
        <w:contextualSpacing w:val="0"/>
        <w:jc w:val="both"/>
        <w:rPr>
          <w:i/>
        </w:rPr>
      </w:pPr>
      <w:r w:rsidRPr="00E629A5">
        <w:rPr>
          <w:i/>
        </w:rPr>
        <w:t>Authorisation requirements</w:t>
      </w:r>
    </w:p>
    <w:p w:rsidR="001D5833" w:rsidRDefault="001D5833" w:rsidP="001D5833">
      <w:pPr>
        <w:pStyle w:val="ListParagraph"/>
        <w:snapToGrid w:val="0"/>
        <w:spacing w:after="0" w:line="240" w:lineRule="auto"/>
        <w:ind w:left="0"/>
        <w:contextualSpacing w:val="0"/>
        <w:jc w:val="both"/>
        <w:rPr>
          <w:u w:val="single"/>
        </w:rPr>
      </w:pPr>
    </w:p>
    <w:p w:rsidR="001D5833" w:rsidRDefault="001D5833" w:rsidP="001D5833">
      <w:pPr>
        <w:pStyle w:val="ListParagraph"/>
        <w:snapToGrid w:val="0"/>
        <w:spacing w:after="0" w:line="240" w:lineRule="auto"/>
        <w:ind w:left="0"/>
        <w:contextualSpacing w:val="0"/>
        <w:jc w:val="both"/>
      </w:pPr>
      <w:r>
        <w:t>To be authorised, every CIS must satisfy the following requirements:</w:t>
      </w:r>
    </w:p>
    <w:p w:rsidR="001D5833" w:rsidRDefault="001D5833" w:rsidP="001D5833">
      <w:pPr>
        <w:pStyle w:val="ListParagraph"/>
        <w:snapToGrid w:val="0"/>
        <w:spacing w:after="0" w:line="240" w:lineRule="auto"/>
        <w:ind w:left="0"/>
        <w:contextualSpacing w:val="0"/>
        <w:jc w:val="both"/>
      </w:pPr>
    </w:p>
    <w:p w:rsidR="001D5833" w:rsidRDefault="001D5833" w:rsidP="001D5833">
      <w:pPr>
        <w:pStyle w:val="ListParagraph"/>
        <w:numPr>
          <w:ilvl w:val="0"/>
          <w:numId w:val="4"/>
        </w:numPr>
        <w:snapToGrid w:val="0"/>
        <w:spacing w:after="0" w:line="240" w:lineRule="auto"/>
        <w:contextualSpacing w:val="0"/>
        <w:jc w:val="both"/>
      </w:pPr>
      <w:r>
        <w:lastRenderedPageBreak/>
        <w:t xml:space="preserve">appoint a </w:t>
      </w:r>
      <w:r w:rsidRPr="00AE717C">
        <w:rPr>
          <w:b/>
        </w:rPr>
        <w:t>trustee/ custodian</w:t>
      </w:r>
      <w:r>
        <w:t xml:space="preserve"> acceptable to the SFC (i.e. a licensed bank, registered trust company or banking institution/trust company incorporated outside Hong Kong acceptable to the SFC) and independent of the management company to, at all times, </w:t>
      </w:r>
      <w:r>
        <w:rPr>
          <w:i/>
        </w:rPr>
        <w:t>inter alia</w:t>
      </w:r>
      <w:r>
        <w:t>, take custody and control of scheme property on trust for holders, register cash and registrable assets, ensure sale, issue, redemption and cancellation of units are carried out in accordance with constitutive documents, issue report to holders to be included in annual report etc.. The trustee must:</w:t>
      </w:r>
    </w:p>
    <w:p w:rsidR="001D5833" w:rsidRDefault="001D5833" w:rsidP="001D5833">
      <w:pPr>
        <w:pStyle w:val="ListParagraph"/>
        <w:snapToGrid w:val="0"/>
        <w:spacing w:after="0" w:line="240" w:lineRule="auto"/>
        <w:contextualSpacing w:val="0"/>
        <w:jc w:val="both"/>
      </w:pPr>
    </w:p>
    <w:p w:rsidR="001D5833" w:rsidRDefault="001D5833" w:rsidP="001D5833">
      <w:pPr>
        <w:pStyle w:val="ListParagraph"/>
        <w:numPr>
          <w:ilvl w:val="1"/>
          <w:numId w:val="4"/>
        </w:numPr>
        <w:snapToGrid w:val="0"/>
        <w:spacing w:after="0" w:line="240" w:lineRule="auto"/>
        <w:contextualSpacing w:val="0"/>
        <w:jc w:val="both"/>
      </w:pPr>
      <w:r>
        <w:t>be subject to regulatory supervision;</w:t>
      </w:r>
    </w:p>
    <w:p w:rsidR="001D5833" w:rsidRDefault="001D5833" w:rsidP="001D5833">
      <w:pPr>
        <w:pStyle w:val="ListParagraph"/>
        <w:numPr>
          <w:ilvl w:val="1"/>
          <w:numId w:val="4"/>
        </w:numPr>
        <w:snapToGrid w:val="0"/>
        <w:spacing w:after="0" w:line="240" w:lineRule="auto"/>
        <w:contextualSpacing w:val="0"/>
        <w:jc w:val="both"/>
      </w:pPr>
      <w:r>
        <w:t>have internal controls and systems periodically reviewed;</w:t>
      </w:r>
    </w:p>
    <w:p w:rsidR="001D5833" w:rsidRDefault="001D5833" w:rsidP="001D5833">
      <w:pPr>
        <w:pStyle w:val="ListParagraph"/>
        <w:numPr>
          <w:ilvl w:val="1"/>
          <w:numId w:val="4"/>
        </w:numPr>
        <w:snapToGrid w:val="0"/>
        <w:spacing w:after="0" w:line="240" w:lineRule="auto"/>
        <w:contextualSpacing w:val="0"/>
        <w:jc w:val="both"/>
      </w:pPr>
      <w:r>
        <w:t>be independently audited; and</w:t>
      </w:r>
    </w:p>
    <w:p w:rsidR="001D5833" w:rsidRDefault="001D5833" w:rsidP="001D5833">
      <w:pPr>
        <w:pStyle w:val="ListParagraph"/>
        <w:numPr>
          <w:ilvl w:val="1"/>
          <w:numId w:val="4"/>
        </w:numPr>
        <w:snapToGrid w:val="0"/>
        <w:spacing w:after="0" w:line="240" w:lineRule="auto"/>
        <w:contextualSpacing w:val="0"/>
        <w:jc w:val="both"/>
      </w:pPr>
      <w:r>
        <w:t xml:space="preserve">have a minimum issued and paid up capital and non-distributable capital reserves of HK$10 million or equivalent in foreign currency (unless backed by a substantial financial institution as a holding company committed to fund the company if required); </w:t>
      </w:r>
    </w:p>
    <w:p w:rsidR="001D5833" w:rsidRDefault="001D5833" w:rsidP="001D5833">
      <w:pPr>
        <w:pStyle w:val="ListParagraph"/>
        <w:snapToGrid w:val="0"/>
        <w:spacing w:after="0" w:line="240" w:lineRule="auto"/>
        <w:ind w:left="1440"/>
        <w:contextualSpacing w:val="0"/>
        <w:jc w:val="both"/>
      </w:pPr>
    </w:p>
    <w:p w:rsidR="001D5833" w:rsidRDefault="001D5833" w:rsidP="001D5833">
      <w:pPr>
        <w:pStyle w:val="ListParagraph"/>
        <w:numPr>
          <w:ilvl w:val="0"/>
          <w:numId w:val="4"/>
        </w:numPr>
        <w:snapToGrid w:val="0"/>
        <w:spacing w:after="0" w:line="240" w:lineRule="auto"/>
        <w:contextualSpacing w:val="0"/>
        <w:jc w:val="both"/>
      </w:pPr>
      <w:r>
        <w:t xml:space="preserve">appoint a </w:t>
      </w:r>
      <w:r w:rsidRPr="00AE717C">
        <w:rPr>
          <w:b/>
        </w:rPr>
        <w:t>fund management company</w:t>
      </w:r>
      <w:r>
        <w:t xml:space="preserve"> acceptable to the SFC (unless self-managed by the board of directors who do not deal with the CIS as principals and who may be removed by holders) to, </w:t>
      </w:r>
      <w:r>
        <w:rPr>
          <w:i/>
        </w:rPr>
        <w:t>inter alia</w:t>
      </w:r>
      <w:r>
        <w:t>, manage the CIS in accordance with scheme documents in the best interest of holders, maintain books and records and prepare accounts and reports etc. The management company must:</w:t>
      </w:r>
    </w:p>
    <w:p w:rsidR="001D5833" w:rsidRDefault="001D5833" w:rsidP="001D5833">
      <w:pPr>
        <w:pStyle w:val="ListParagraph"/>
        <w:snapToGrid w:val="0"/>
        <w:spacing w:after="0" w:line="240" w:lineRule="auto"/>
        <w:contextualSpacing w:val="0"/>
        <w:jc w:val="both"/>
      </w:pPr>
    </w:p>
    <w:p w:rsidR="001D5833" w:rsidRDefault="001D5833" w:rsidP="001D5833">
      <w:pPr>
        <w:pStyle w:val="ListParagraph"/>
        <w:numPr>
          <w:ilvl w:val="1"/>
          <w:numId w:val="4"/>
        </w:numPr>
        <w:snapToGrid w:val="0"/>
        <w:spacing w:after="0" w:line="240" w:lineRule="auto"/>
        <w:contextualSpacing w:val="0"/>
        <w:jc w:val="both"/>
      </w:pPr>
      <w:r>
        <w:t>be engaged primarily in the business of fund management;</w:t>
      </w:r>
    </w:p>
    <w:p w:rsidR="001D5833" w:rsidRDefault="001D5833" w:rsidP="001D5833">
      <w:pPr>
        <w:pStyle w:val="ListParagraph"/>
        <w:numPr>
          <w:ilvl w:val="1"/>
          <w:numId w:val="4"/>
        </w:numPr>
        <w:snapToGrid w:val="0"/>
        <w:spacing w:after="0" w:line="240" w:lineRule="auto"/>
        <w:contextualSpacing w:val="0"/>
        <w:jc w:val="both"/>
      </w:pPr>
      <w:r>
        <w:t>have sufficient financial, human and technical resources to conduct its business;</w:t>
      </w:r>
    </w:p>
    <w:p w:rsidR="001D5833" w:rsidRDefault="001D5833" w:rsidP="001D5833">
      <w:pPr>
        <w:pStyle w:val="ListParagraph"/>
        <w:numPr>
          <w:ilvl w:val="1"/>
          <w:numId w:val="4"/>
        </w:numPr>
        <w:snapToGrid w:val="0"/>
        <w:spacing w:after="0" w:line="240" w:lineRule="auto"/>
        <w:contextualSpacing w:val="0"/>
        <w:jc w:val="both"/>
      </w:pPr>
      <w:r>
        <w:t>have minimum issued and paid up capital and capital reserves of HK$1 million or equivalent in foreign currency;</w:t>
      </w:r>
    </w:p>
    <w:p w:rsidR="001D5833" w:rsidRDefault="001D5833" w:rsidP="001D5833">
      <w:pPr>
        <w:pStyle w:val="ListParagraph"/>
        <w:numPr>
          <w:ilvl w:val="1"/>
          <w:numId w:val="4"/>
        </w:numPr>
        <w:snapToGrid w:val="0"/>
        <w:spacing w:after="0" w:line="240" w:lineRule="auto"/>
        <w:contextualSpacing w:val="0"/>
        <w:jc w:val="both"/>
      </w:pPr>
      <w:r>
        <w:t>not lend to a material extent;</w:t>
      </w:r>
    </w:p>
    <w:p w:rsidR="001D5833" w:rsidRDefault="001D5833" w:rsidP="001D5833">
      <w:pPr>
        <w:pStyle w:val="ListParagraph"/>
        <w:numPr>
          <w:ilvl w:val="1"/>
          <w:numId w:val="4"/>
        </w:numPr>
        <w:snapToGrid w:val="0"/>
        <w:spacing w:after="0" w:line="240" w:lineRule="auto"/>
        <w:contextualSpacing w:val="0"/>
        <w:jc w:val="both"/>
      </w:pPr>
      <w:r w:rsidRPr="00097256">
        <w:t>maintain a positive net asset position at all times</w:t>
      </w:r>
    </w:p>
    <w:p w:rsidR="001D5833" w:rsidRDefault="001D5833" w:rsidP="001D5833">
      <w:pPr>
        <w:pStyle w:val="ListParagraph"/>
        <w:numPr>
          <w:ilvl w:val="1"/>
          <w:numId w:val="4"/>
        </w:numPr>
        <w:snapToGrid w:val="0"/>
        <w:spacing w:after="0" w:line="240" w:lineRule="auto"/>
        <w:contextualSpacing w:val="0"/>
        <w:jc w:val="both"/>
      </w:pPr>
      <w:r>
        <w:t>have directors, investment advisers and key personnel of good repute with necessary qualifications and experience and track-record;</w:t>
      </w:r>
    </w:p>
    <w:p w:rsidR="001D5833" w:rsidRDefault="001D5833" w:rsidP="001D5833">
      <w:pPr>
        <w:pStyle w:val="ListParagraph"/>
        <w:numPr>
          <w:ilvl w:val="1"/>
          <w:numId w:val="4"/>
        </w:numPr>
        <w:snapToGrid w:val="0"/>
        <w:spacing w:after="0" w:line="240" w:lineRule="auto"/>
        <w:contextualSpacing w:val="0"/>
        <w:jc w:val="both"/>
      </w:pPr>
      <w:r>
        <w:t>have adequate internal controls and regularly monitored written procedures;</w:t>
      </w:r>
    </w:p>
    <w:p w:rsidR="001D5833" w:rsidRDefault="001D5833" w:rsidP="001D5833">
      <w:pPr>
        <w:pStyle w:val="ListParagraph"/>
        <w:numPr>
          <w:ilvl w:val="1"/>
          <w:numId w:val="4"/>
        </w:numPr>
        <w:snapToGrid w:val="0"/>
        <w:spacing w:after="0" w:line="240" w:lineRule="auto"/>
        <w:contextualSpacing w:val="0"/>
        <w:jc w:val="both"/>
      </w:pPr>
      <w:r>
        <w:t>be properly licensed or registered under the SFO to carry out regulated activities; and</w:t>
      </w:r>
    </w:p>
    <w:p w:rsidR="001D5833" w:rsidRDefault="001D5833" w:rsidP="001D5833">
      <w:pPr>
        <w:pStyle w:val="ListParagraph"/>
        <w:numPr>
          <w:ilvl w:val="1"/>
          <w:numId w:val="4"/>
        </w:numPr>
        <w:snapToGrid w:val="0"/>
        <w:spacing w:after="0" w:line="240" w:lineRule="auto"/>
        <w:contextualSpacing w:val="0"/>
        <w:jc w:val="both"/>
      </w:pPr>
      <w:r>
        <w:t>appoint an independent auditor for the CIS;</w:t>
      </w:r>
    </w:p>
    <w:p w:rsidR="001D5833" w:rsidRDefault="001D5833" w:rsidP="001D5833">
      <w:pPr>
        <w:pStyle w:val="ListParagraph"/>
        <w:snapToGrid w:val="0"/>
        <w:spacing w:after="0" w:line="240" w:lineRule="auto"/>
        <w:ind w:left="0"/>
        <w:contextualSpacing w:val="0"/>
        <w:jc w:val="both"/>
      </w:pPr>
    </w:p>
    <w:p w:rsidR="001D5833" w:rsidRDefault="001D5833" w:rsidP="001D5833">
      <w:pPr>
        <w:pStyle w:val="ListParagraph"/>
        <w:numPr>
          <w:ilvl w:val="0"/>
          <w:numId w:val="5"/>
        </w:numPr>
        <w:snapToGrid w:val="0"/>
        <w:spacing w:after="0" w:line="240" w:lineRule="auto"/>
        <w:contextualSpacing w:val="0"/>
        <w:jc w:val="both"/>
      </w:pPr>
      <w:r>
        <w:t xml:space="preserve">issue an up-to-date </w:t>
      </w:r>
      <w:r w:rsidRPr="00AE717C">
        <w:rPr>
          <w:b/>
        </w:rPr>
        <w:t>offering document</w:t>
      </w:r>
      <w:r>
        <w:t xml:space="preserve"> in English and Chinese (or in one language if permitted by the SFC</w:t>
      </w:r>
      <w:r w:rsidR="00B812D7">
        <w:t xml:space="preserve"> on a case by case basis where the management company satisfies the Commission that the scheme will only be offered to persons who are fully conversant in the language in which it is intended to publish the information</w:t>
      </w:r>
      <w:r>
        <w:t xml:space="preserve">) which contains information necessary for investors to be able to make an informed judgement of the investment proposed to them. A non-exhaustive list of information to be included in the offering document is set out in Appendix C of the Code and includes, </w:t>
      </w:r>
      <w:r>
        <w:rPr>
          <w:i/>
        </w:rPr>
        <w:t>inter alia</w:t>
      </w:r>
      <w:r>
        <w:t>:</w:t>
      </w:r>
    </w:p>
    <w:p w:rsidR="001D5833" w:rsidRDefault="001D5833" w:rsidP="001D5833">
      <w:pPr>
        <w:pStyle w:val="ListParagraph"/>
        <w:snapToGrid w:val="0"/>
        <w:spacing w:after="0" w:line="240" w:lineRule="auto"/>
        <w:contextualSpacing w:val="0"/>
        <w:jc w:val="both"/>
      </w:pPr>
    </w:p>
    <w:p w:rsidR="001D5833" w:rsidRDefault="001D5833" w:rsidP="001D5833">
      <w:pPr>
        <w:pStyle w:val="ListParagraph"/>
        <w:numPr>
          <w:ilvl w:val="1"/>
          <w:numId w:val="5"/>
        </w:numPr>
        <w:snapToGrid w:val="0"/>
        <w:spacing w:after="0" w:line="240" w:lineRule="auto"/>
        <w:contextualSpacing w:val="0"/>
        <w:jc w:val="both"/>
      </w:pPr>
      <w:r>
        <w:t>contents of constitutive documents (including information set out in Appendix D of the Code – including prescribed statements, provisions and declarations, information on the obligations of the management company, investment and borrowing restrictions, valuation and pricing rules etc.);</w:t>
      </w:r>
    </w:p>
    <w:p w:rsidR="001D5833" w:rsidRDefault="001D5833" w:rsidP="001D5833">
      <w:pPr>
        <w:pStyle w:val="ListParagraph"/>
        <w:numPr>
          <w:ilvl w:val="1"/>
          <w:numId w:val="5"/>
        </w:numPr>
        <w:snapToGrid w:val="0"/>
        <w:spacing w:after="0" w:line="240" w:lineRule="auto"/>
        <w:contextualSpacing w:val="0"/>
        <w:jc w:val="both"/>
      </w:pPr>
      <w:r>
        <w:t>investment objectives and restrictions;</w:t>
      </w:r>
    </w:p>
    <w:p w:rsidR="001D5833" w:rsidRDefault="001D5833" w:rsidP="001D5833">
      <w:pPr>
        <w:pStyle w:val="ListParagraph"/>
        <w:numPr>
          <w:ilvl w:val="1"/>
          <w:numId w:val="5"/>
        </w:numPr>
        <w:snapToGrid w:val="0"/>
        <w:spacing w:after="0" w:line="240" w:lineRule="auto"/>
        <w:contextualSpacing w:val="0"/>
        <w:jc w:val="both"/>
      </w:pPr>
      <w:r>
        <w:t>collateral policy and criteria;</w:t>
      </w:r>
    </w:p>
    <w:p w:rsidR="002B3A9D" w:rsidRDefault="002B3A9D" w:rsidP="001D5833">
      <w:pPr>
        <w:pStyle w:val="ListParagraph"/>
        <w:numPr>
          <w:ilvl w:val="1"/>
          <w:numId w:val="5"/>
        </w:numPr>
        <w:snapToGrid w:val="0"/>
        <w:spacing w:after="0" w:line="240" w:lineRule="auto"/>
        <w:contextualSpacing w:val="0"/>
        <w:jc w:val="both"/>
      </w:pPr>
      <w:r>
        <w:t>valuation of property and pricing;</w:t>
      </w:r>
    </w:p>
    <w:p w:rsidR="002B3A9D" w:rsidRDefault="002B3A9D" w:rsidP="001D5833">
      <w:pPr>
        <w:pStyle w:val="ListParagraph"/>
        <w:numPr>
          <w:ilvl w:val="1"/>
          <w:numId w:val="5"/>
        </w:numPr>
        <w:snapToGrid w:val="0"/>
        <w:spacing w:after="0" w:line="240" w:lineRule="auto"/>
        <w:contextualSpacing w:val="0"/>
        <w:jc w:val="both"/>
      </w:pPr>
      <w:r>
        <w:t>liquidity risk management</w:t>
      </w:r>
    </w:p>
    <w:p w:rsidR="001D5833" w:rsidRDefault="001D5833" w:rsidP="001D5833">
      <w:pPr>
        <w:pStyle w:val="ListParagraph"/>
        <w:numPr>
          <w:ilvl w:val="1"/>
          <w:numId w:val="5"/>
        </w:numPr>
        <w:snapToGrid w:val="0"/>
        <w:spacing w:after="0" w:line="240" w:lineRule="auto"/>
        <w:contextualSpacing w:val="0"/>
        <w:jc w:val="both"/>
      </w:pPr>
      <w:proofErr w:type="gramStart"/>
      <w:r>
        <w:t>operators</w:t>
      </w:r>
      <w:proofErr w:type="gramEnd"/>
      <w:r>
        <w:t xml:space="preserve"> and principals (including directors, trustee/custodian, Hong Kong representative etc.);</w:t>
      </w:r>
    </w:p>
    <w:p w:rsidR="001D5833" w:rsidRDefault="001D5833" w:rsidP="001D5833">
      <w:pPr>
        <w:pStyle w:val="ListParagraph"/>
        <w:numPr>
          <w:ilvl w:val="1"/>
          <w:numId w:val="5"/>
        </w:numPr>
        <w:snapToGrid w:val="0"/>
        <w:spacing w:after="0" w:line="240" w:lineRule="auto"/>
        <w:contextualSpacing w:val="0"/>
        <w:jc w:val="both"/>
      </w:pPr>
      <w:proofErr w:type="gramStart"/>
      <w:r>
        <w:t>characteristics</w:t>
      </w:r>
      <w:proofErr w:type="gramEnd"/>
      <w:r>
        <w:t xml:space="preserve"> of the units (minimum investments, form of certification etc.);</w:t>
      </w:r>
    </w:p>
    <w:p w:rsidR="001D5833" w:rsidRDefault="001D5833" w:rsidP="001D5833">
      <w:pPr>
        <w:pStyle w:val="ListParagraph"/>
        <w:numPr>
          <w:ilvl w:val="1"/>
          <w:numId w:val="5"/>
        </w:numPr>
        <w:snapToGrid w:val="0"/>
        <w:spacing w:after="0" w:line="240" w:lineRule="auto"/>
        <w:contextualSpacing w:val="0"/>
        <w:jc w:val="both"/>
      </w:pPr>
      <w:r>
        <w:t>application and redemption procedures;</w:t>
      </w:r>
    </w:p>
    <w:p w:rsidR="002B3A9D" w:rsidRDefault="002B3A9D" w:rsidP="001D5833">
      <w:pPr>
        <w:pStyle w:val="ListParagraph"/>
        <w:numPr>
          <w:ilvl w:val="1"/>
          <w:numId w:val="5"/>
        </w:numPr>
        <w:snapToGrid w:val="0"/>
        <w:spacing w:after="0" w:line="240" w:lineRule="auto"/>
        <w:contextualSpacing w:val="0"/>
        <w:jc w:val="both"/>
      </w:pPr>
      <w:r>
        <w:t>distribution policy;</w:t>
      </w:r>
    </w:p>
    <w:p w:rsidR="001D5833" w:rsidRDefault="001D5833" w:rsidP="001D5833">
      <w:pPr>
        <w:pStyle w:val="ListParagraph"/>
        <w:numPr>
          <w:ilvl w:val="1"/>
          <w:numId w:val="5"/>
        </w:numPr>
        <w:snapToGrid w:val="0"/>
        <w:spacing w:after="0" w:line="240" w:lineRule="auto"/>
        <w:contextualSpacing w:val="0"/>
        <w:jc w:val="both"/>
      </w:pPr>
      <w:r>
        <w:t>fees and charges;</w:t>
      </w:r>
    </w:p>
    <w:p w:rsidR="001D5833" w:rsidRDefault="001D5833" w:rsidP="001D5833">
      <w:pPr>
        <w:pStyle w:val="ListParagraph"/>
        <w:numPr>
          <w:ilvl w:val="1"/>
          <w:numId w:val="5"/>
        </w:numPr>
        <w:snapToGrid w:val="0"/>
        <w:spacing w:after="0" w:line="240" w:lineRule="auto"/>
        <w:contextualSpacing w:val="0"/>
        <w:jc w:val="both"/>
      </w:pPr>
      <w:r>
        <w:t>taxation;</w:t>
      </w:r>
    </w:p>
    <w:p w:rsidR="001D5833" w:rsidRDefault="002B3A9D" w:rsidP="001D5833">
      <w:pPr>
        <w:pStyle w:val="ListParagraph"/>
        <w:numPr>
          <w:ilvl w:val="1"/>
          <w:numId w:val="5"/>
        </w:numPr>
        <w:snapToGrid w:val="0"/>
        <w:spacing w:after="0" w:line="240" w:lineRule="auto"/>
        <w:contextualSpacing w:val="0"/>
        <w:jc w:val="both"/>
      </w:pPr>
      <w:r>
        <w:lastRenderedPageBreak/>
        <w:t>financial reports</w:t>
      </w:r>
      <w:r w:rsidR="001D5833">
        <w:t>;</w:t>
      </w:r>
    </w:p>
    <w:p w:rsidR="001D5833" w:rsidRDefault="001D5833" w:rsidP="001D5833">
      <w:pPr>
        <w:pStyle w:val="ListParagraph"/>
        <w:numPr>
          <w:ilvl w:val="1"/>
          <w:numId w:val="5"/>
        </w:numPr>
        <w:snapToGrid w:val="0"/>
        <w:spacing w:after="0" w:line="240" w:lineRule="auto"/>
        <w:contextualSpacing w:val="0"/>
        <w:jc w:val="both"/>
      </w:pPr>
      <w:r>
        <w:t>prominently displayed warnings;</w:t>
      </w:r>
    </w:p>
    <w:p w:rsidR="001D5833" w:rsidRDefault="001D5833" w:rsidP="001D5833">
      <w:pPr>
        <w:pStyle w:val="ListParagraph"/>
        <w:numPr>
          <w:ilvl w:val="1"/>
          <w:numId w:val="5"/>
        </w:numPr>
        <w:snapToGrid w:val="0"/>
        <w:spacing w:after="0" w:line="240" w:lineRule="auto"/>
        <w:contextualSpacing w:val="0"/>
        <w:jc w:val="both"/>
      </w:pPr>
      <w:r>
        <w:t xml:space="preserve">product KFS; </w:t>
      </w:r>
    </w:p>
    <w:p w:rsidR="001D5833" w:rsidRDefault="001D5833" w:rsidP="001D5833">
      <w:pPr>
        <w:pStyle w:val="ListParagraph"/>
        <w:numPr>
          <w:ilvl w:val="1"/>
          <w:numId w:val="5"/>
        </w:numPr>
        <w:snapToGrid w:val="0"/>
        <w:spacing w:after="0" w:line="240" w:lineRule="auto"/>
        <w:contextualSpacing w:val="0"/>
        <w:jc w:val="both"/>
      </w:pPr>
      <w:r>
        <w:t>other general information;</w:t>
      </w:r>
    </w:p>
    <w:p w:rsidR="002B3A9D" w:rsidRDefault="002B3A9D" w:rsidP="001D5833">
      <w:pPr>
        <w:pStyle w:val="ListParagraph"/>
        <w:numPr>
          <w:ilvl w:val="1"/>
          <w:numId w:val="5"/>
        </w:numPr>
        <w:snapToGrid w:val="0"/>
        <w:spacing w:after="0" w:line="240" w:lineRule="auto"/>
        <w:contextualSpacing w:val="0"/>
        <w:jc w:val="both"/>
      </w:pPr>
      <w:r>
        <w:t>termination of scheme; and</w:t>
      </w:r>
    </w:p>
    <w:p w:rsidR="002B3A9D" w:rsidRDefault="002B3A9D" w:rsidP="001D5833">
      <w:pPr>
        <w:pStyle w:val="ListParagraph"/>
        <w:numPr>
          <w:ilvl w:val="1"/>
          <w:numId w:val="5"/>
        </w:numPr>
        <w:snapToGrid w:val="0"/>
        <w:spacing w:after="0" w:line="240" w:lineRule="auto"/>
        <w:contextualSpacing w:val="0"/>
        <w:jc w:val="both"/>
      </w:pPr>
      <w:r>
        <w:t>custody arrangements;</w:t>
      </w:r>
    </w:p>
    <w:p w:rsidR="001D5833" w:rsidRDefault="001D5833" w:rsidP="001D5833">
      <w:pPr>
        <w:pStyle w:val="ListParagraph"/>
        <w:snapToGrid w:val="0"/>
        <w:spacing w:after="0" w:line="240" w:lineRule="auto"/>
        <w:ind w:left="0"/>
        <w:contextualSpacing w:val="0"/>
        <w:jc w:val="both"/>
      </w:pPr>
    </w:p>
    <w:p w:rsidR="001D5833" w:rsidRDefault="001D5833" w:rsidP="001D5833">
      <w:pPr>
        <w:pStyle w:val="ListParagraph"/>
        <w:numPr>
          <w:ilvl w:val="0"/>
          <w:numId w:val="5"/>
        </w:numPr>
        <w:snapToGrid w:val="0"/>
        <w:spacing w:after="0" w:line="240" w:lineRule="auto"/>
        <w:contextualSpacing w:val="0"/>
        <w:jc w:val="both"/>
      </w:pPr>
      <w:r>
        <w:t xml:space="preserve">maintain a </w:t>
      </w:r>
      <w:r w:rsidRPr="005C5140">
        <w:rPr>
          <w:b/>
        </w:rPr>
        <w:t>register</w:t>
      </w:r>
      <w:r>
        <w:t xml:space="preserve"> of holders; and</w:t>
      </w:r>
    </w:p>
    <w:p w:rsidR="001D5833" w:rsidRDefault="001D5833" w:rsidP="001D5833">
      <w:pPr>
        <w:pStyle w:val="ListParagraph"/>
        <w:snapToGrid w:val="0"/>
        <w:spacing w:after="0" w:line="240" w:lineRule="auto"/>
        <w:contextualSpacing w:val="0"/>
        <w:jc w:val="both"/>
      </w:pPr>
    </w:p>
    <w:p w:rsidR="001D5833" w:rsidRDefault="001D5833" w:rsidP="001D5833">
      <w:pPr>
        <w:pStyle w:val="ListParagraph"/>
        <w:numPr>
          <w:ilvl w:val="0"/>
          <w:numId w:val="5"/>
        </w:numPr>
        <w:snapToGrid w:val="0"/>
        <w:spacing w:after="0" w:line="240" w:lineRule="auto"/>
        <w:contextualSpacing w:val="0"/>
        <w:jc w:val="both"/>
      </w:pPr>
      <w:proofErr w:type="gramStart"/>
      <w:r>
        <w:t>assets</w:t>
      </w:r>
      <w:proofErr w:type="gramEnd"/>
      <w:r>
        <w:t xml:space="preserve"> acquired by the CIS must not assume liability which is unlimited.</w:t>
      </w:r>
    </w:p>
    <w:p w:rsidR="001D5833" w:rsidRDefault="001D5833" w:rsidP="001D5833">
      <w:pPr>
        <w:pStyle w:val="ListParagraph"/>
      </w:pPr>
    </w:p>
    <w:p w:rsidR="001D5833" w:rsidRPr="00E629A5" w:rsidRDefault="001D5833" w:rsidP="001D5833">
      <w:pPr>
        <w:pStyle w:val="ListParagraph"/>
        <w:snapToGrid w:val="0"/>
        <w:spacing w:after="0" w:line="240" w:lineRule="auto"/>
        <w:ind w:left="0"/>
        <w:contextualSpacing w:val="0"/>
        <w:jc w:val="both"/>
        <w:rPr>
          <w:u w:val="single"/>
        </w:rPr>
      </w:pPr>
      <w:r w:rsidRPr="00E629A5">
        <w:rPr>
          <w:u w:val="single"/>
        </w:rPr>
        <w:t>Specific requirements for authorisation of ETFs</w:t>
      </w:r>
    </w:p>
    <w:p w:rsidR="001D5833" w:rsidRDefault="001D5833" w:rsidP="001D5833">
      <w:pPr>
        <w:pStyle w:val="ListParagraph"/>
        <w:snapToGrid w:val="0"/>
        <w:spacing w:after="0" w:line="240" w:lineRule="auto"/>
        <w:ind w:left="0"/>
        <w:contextualSpacing w:val="0"/>
        <w:jc w:val="both"/>
      </w:pPr>
    </w:p>
    <w:p w:rsidR="001D5833" w:rsidRDefault="001D5833" w:rsidP="001D5833">
      <w:pPr>
        <w:pStyle w:val="ListParagraph"/>
        <w:snapToGrid w:val="0"/>
        <w:spacing w:after="0" w:line="240" w:lineRule="auto"/>
        <w:ind w:left="0"/>
        <w:jc w:val="both"/>
        <w:rPr>
          <w:lang w:val="en-US"/>
        </w:rPr>
      </w:pPr>
      <w:r>
        <w:rPr>
          <w:lang w:val="en-US"/>
        </w:rPr>
        <w:t xml:space="preserve">Specific requirements for ETFs are set out in </w:t>
      </w:r>
      <w:r w:rsidRPr="00007B99">
        <w:rPr>
          <w:lang w:val="en-US"/>
        </w:rPr>
        <w:t>Chapter 8.6 of the Code.</w:t>
      </w:r>
    </w:p>
    <w:p w:rsidR="001D5833" w:rsidRPr="00007B99" w:rsidRDefault="001D5833" w:rsidP="001D5833">
      <w:pPr>
        <w:pStyle w:val="ListParagraph"/>
        <w:snapToGrid w:val="0"/>
        <w:spacing w:after="0" w:line="240" w:lineRule="auto"/>
        <w:ind w:left="0"/>
        <w:jc w:val="both"/>
        <w:rPr>
          <w:lang w:val="en-US"/>
        </w:rPr>
      </w:pPr>
    </w:p>
    <w:p w:rsidR="001D5833" w:rsidRPr="00E629A5" w:rsidRDefault="001D5833" w:rsidP="001D5833">
      <w:pPr>
        <w:pStyle w:val="ListParagraph"/>
        <w:snapToGrid w:val="0"/>
        <w:spacing w:after="0" w:line="240" w:lineRule="auto"/>
        <w:ind w:left="0"/>
        <w:jc w:val="both"/>
        <w:rPr>
          <w:i/>
        </w:rPr>
      </w:pPr>
      <w:r w:rsidRPr="00E629A5">
        <w:rPr>
          <w:i/>
        </w:rPr>
        <w:t>Acceptability of the underlying index</w:t>
      </w:r>
    </w:p>
    <w:p w:rsidR="001D5833" w:rsidRDefault="001D5833" w:rsidP="001D5833">
      <w:pPr>
        <w:pStyle w:val="ListParagraph"/>
        <w:snapToGrid w:val="0"/>
        <w:spacing w:after="0" w:line="240" w:lineRule="auto"/>
        <w:ind w:left="0"/>
        <w:jc w:val="both"/>
      </w:pPr>
    </w:p>
    <w:p w:rsidR="001D5833" w:rsidRDefault="001D5833" w:rsidP="001D5833">
      <w:pPr>
        <w:pStyle w:val="ListParagraph"/>
        <w:snapToGrid w:val="0"/>
        <w:spacing w:after="0" w:line="240" w:lineRule="auto"/>
        <w:ind w:left="0"/>
        <w:jc w:val="both"/>
      </w:pPr>
      <w:r w:rsidRPr="00007B99">
        <w:t>The SFC will only consider authorising an index fund if it considers the index to be acceptable. In order to be considered acceptable, the underlying index tracked by an ETF must:</w:t>
      </w:r>
    </w:p>
    <w:p w:rsidR="001D5833" w:rsidRPr="00007B99" w:rsidRDefault="001D5833" w:rsidP="001D5833">
      <w:pPr>
        <w:pStyle w:val="ListParagraph"/>
        <w:snapToGrid w:val="0"/>
        <w:spacing w:after="0" w:line="240" w:lineRule="auto"/>
        <w:ind w:left="0"/>
        <w:jc w:val="both"/>
      </w:pPr>
    </w:p>
    <w:p w:rsidR="001D5833" w:rsidRPr="00E629A5" w:rsidRDefault="001D5833" w:rsidP="001D5833">
      <w:pPr>
        <w:pStyle w:val="ListParagraph"/>
        <w:numPr>
          <w:ilvl w:val="0"/>
          <w:numId w:val="9"/>
        </w:numPr>
        <w:snapToGrid w:val="0"/>
        <w:spacing w:after="0" w:line="240" w:lineRule="auto"/>
        <w:jc w:val="both"/>
      </w:pPr>
      <w:r w:rsidRPr="00007B99">
        <w:rPr>
          <w:bCs/>
        </w:rPr>
        <w:t>have a clearly defined objective and</w:t>
      </w:r>
      <w:r>
        <w:rPr>
          <w:bCs/>
        </w:rPr>
        <w:t>/or</w:t>
      </w:r>
      <w:r w:rsidRPr="00007B99">
        <w:rPr>
          <w:bCs/>
        </w:rPr>
        <w:t xml:space="preserve"> the market or sector it aims to represent </w:t>
      </w:r>
      <w:r>
        <w:rPr>
          <w:bCs/>
        </w:rPr>
        <w:t>must</w:t>
      </w:r>
      <w:r w:rsidRPr="00007B99">
        <w:rPr>
          <w:bCs/>
        </w:rPr>
        <w:t xml:space="preserve"> be clear;</w:t>
      </w:r>
    </w:p>
    <w:p w:rsidR="001D5833" w:rsidRPr="00007B99" w:rsidRDefault="001D5833" w:rsidP="001D5833">
      <w:pPr>
        <w:pStyle w:val="ListParagraph"/>
        <w:snapToGrid w:val="0"/>
        <w:spacing w:after="0" w:line="240" w:lineRule="auto"/>
        <w:jc w:val="both"/>
      </w:pPr>
    </w:p>
    <w:p w:rsidR="001D5833" w:rsidRDefault="001D5833" w:rsidP="001D5833">
      <w:pPr>
        <w:pStyle w:val="ListParagraph"/>
        <w:numPr>
          <w:ilvl w:val="0"/>
          <w:numId w:val="9"/>
        </w:numPr>
        <w:snapToGrid w:val="0"/>
        <w:spacing w:after="0" w:line="240" w:lineRule="auto"/>
        <w:jc w:val="both"/>
      </w:pPr>
      <w:r w:rsidRPr="00007B99">
        <w:t xml:space="preserve">be broadly based (an index with a single constituent security weighing more than </w:t>
      </w:r>
      <w:r w:rsidR="004926E3">
        <w:t>20</w:t>
      </w:r>
      <w:r w:rsidRPr="00007B99">
        <w:t xml:space="preserve">% or </w:t>
      </w:r>
      <w:r w:rsidR="004926E3">
        <w:t>having fewer constituent securities</w:t>
      </w:r>
      <w:r w:rsidRPr="00007B99">
        <w:t xml:space="preserve"> would generally be considered too concentrated);</w:t>
      </w:r>
    </w:p>
    <w:p w:rsidR="001D5833" w:rsidRPr="00007B99" w:rsidRDefault="001D5833" w:rsidP="001D5833">
      <w:pPr>
        <w:pStyle w:val="ListParagraph"/>
        <w:snapToGrid w:val="0"/>
        <w:spacing w:after="0" w:line="240" w:lineRule="auto"/>
        <w:jc w:val="both"/>
      </w:pPr>
    </w:p>
    <w:p w:rsidR="001D5833" w:rsidRDefault="001D5833" w:rsidP="001D5833">
      <w:pPr>
        <w:pStyle w:val="ListParagraph"/>
        <w:numPr>
          <w:ilvl w:val="0"/>
          <w:numId w:val="9"/>
        </w:numPr>
        <w:snapToGrid w:val="0"/>
        <w:spacing w:after="0" w:line="240" w:lineRule="auto"/>
        <w:jc w:val="both"/>
      </w:pPr>
      <w:r w:rsidRPr="00007B99">
        <w:t>be investible, in particular, the constituent securities of the index should be sufficiently liquid</w:t>
      </w:r>
      <w:r>
        <w:t xml:space="preserve"> and capable of being readily acquired or disposed of under normal market circumstances and in the absence of trading restrictions</w:t>
      </w:r>
      <w:r w:rsidRPr="00007B99">
        <w:t xml:space="preserve">; </w:t>
      </w:r>
    </w:p>
    <w:p w:rsidR="001D5833" w:rsidRPr="00007B99" w:rsidRDefault="001D5833" w:rsidP="001D5833">
      <w:pPr>
        <w:pStyle w:val="ListParagraph"/>
        <w:snapToGrid w:val="0"/>
        <w:spacing w:after="0" w:line="240" w:lineRule="auto"/>
        <w:jc w:val="both"/>
      </w:pPr>
    </w:p>
    <w:p w:rsidR="001D5833" w:rsidRDefault="001D5833" w:rsidP="001D5833">
      <w:pPr>
        <w:pStyle w:val="ListParagraph"/>
        <w:numPr>
          <w:ilvl w:val="0"/>
          <w:numId w:val="9"/>
        </w:numPr>
        <w:snapToGrid w:val="0"/>
        <w:spacing w:after="0" w:line="240" w:lineRule="auto"/>
        <w:jc w:val="both"/>
      </w:pPr>
      <w:proofErr w:type="gramStart"/>
      <w:r w:rsidRPr="00007B99">
        <w:t>be</w:t>
      </w:r>
      <w:proofErr w:type="gramEnd"/>
      <w:r w:rsidRPr="00007B99">
        <w:t xml:space="preserve"> transparent and published in an appropriate manner</w:t>
      </w:r>
      <w:r>
        <w:t>. The latest index level and other important news should be either published in Hong Kong daily newspapers or conveniently accessible by investors (e.g. by enquiring of the Hong Kong Representative or through relevant websites)</w:t>
      </w:r>
      <w:r w:rsidRPr="00007B99">
        <w:t>; and</w:t>
      </w:r>
    </w:p>
    <w:p w:rsidR="001D5833" w:rsidRPr="00007B99" w:rsidRDefault="001D5833" w:rsidP="001D5833">
      <w:pPr>
        <w:pStyle w:val="ListParagraph"/>
        <w:snapToGrid w:val="0"/>
        <w:spacing w:after="0" w:line="240" w:lineRule="auto"/>
        <w:jc w:val="both"/>
      </w:pPr>
      <w:r w:rsidRPr="00007B99">
        <w:t xml:space="preserve"> </w:t>
      </w:r>
    </w:p>
    <w:p w:rsidR="001D5833" w:rsidRDefault="001D5833" w:rsidP="001D5833">
      <w:pPr>
        <w:pStyle w:val="ListParagraph"/>
        <w:numPr>
          <w:ilvl w:val="0"/>
          <w:numId w:val="9"/>
        </w:numPr>
        <w:snapToGrid w:val="0"/>
        <w:spacing w:after="0" w:line="240" w:lineRule="auto"/>
        <w:jc w:val="both"/>
      </w:pPr>
      <w:proofErr w:type="gramStart"/>
      <w:r w:rsidRPr="00007B99">
        <w:t>be</w:t>
      </w:r>
      <w:proofErr w:type="gramEnd"/>
      <w:r w:rsidRPr="00007B99">
        <w:t xml:space="preserve"> objectively calculated and rules-based. The index provider is expected to have the necessary </w:t>
      </w:r>
      <w:proofErr w:type="gramStart"/>
      <w:r w:rsidRPr="00007B99">
        <w:t>expertise</w:t>
      </w:r>
      <w:proofErr w:type="gramEnd"/>
      <w:r w:rsidRPr="00007B99">
        <w:t xml:space="preserve"> and technical resources to construct, maintain and review the methodology and rules of the index. </w:t>
      </w:r>
      <w:r>
        <w:t>The SFC may ask for submission of the methodology or rules of the index.</w:t>
      </w:r>
      <w:r w:rsidRPr="00007B99">
        <w:t xml:space="preserve"> </w:t>
      </w:r>
    </w:p>
    <w:p w:rsidR="001D5833" w:rsidRDefault="001D5833" w:rsidP="001D5833">
      <w:pPr>
        <w:pStyle w:val="ListParagraph"/>
      </w:pPr>
    </w:p>
    <w:p w:rsidR="001D5833" w:rsidRDefault="001D5833" w:rsidP="001D5833">
      <w:pPr>
        <w:pStyle w:val="ListParagraph"/>
        <w:snapToGrid w:val="0"/>
        <w:spacing w:after="0" w:line="240" w:lineRule="auto"/>
        <w:ind w:left="426" w:hanging="294"/>
        <w:jc w:val="both"/>
        <w:rPr>
          <w:i/>
        </w:rPr>
      </w:pPr>
      <w:r w:rsidRPr="00E629A5">
        <w:rPr>
          <w:i/>
        </w:rPr>
        <w:t>Reporting Requirements</w:t>
      </w:r>
    </w:p>
    <w:p w:rsidR="001D5833" w:rsidRDefault="001D5833" w:rsidP="001D5833">
      <w:pPr>
        <w:pStyle w:val="ListParagraph"/>
        <w:snapToGrid w:val="0"/>
        <w:spacing w:after="0" w:line="240" w:lineRule="auto"/>
        <w:ind w:left="426" w:hanging="294"/>
        <w:jc w:val="both"/>
      </w:pPr>
    </w:p>
    <w:p w:rsidR="001D5833" w:rsidRPr="003020E6" w:rsidRDefault="001D5833" w:rsidP="00A7510E">
      <w:pPr>
        <w:pStyle w:val="Header"/>
        <w:tabs>
          <w:tab w:val="clear" w:pos="4320"/>
          <w:tab w:val="clear" w:pos="8640"/>
        </w:tabs>
        <w:snapToGrid w:val="0"/>
        <w:ind w:left="142"/>
        <w:contextualSpacing/>
        <w:jc w:val="both"/>
      </w:pPr>
      <w:r w:rsidRPr="00A7510E">
        <w:rPr>
          <w:sz w:val="22"/>
          <w:szCs w:val="22"/>
        </w:rPr>
        <w:t xml:space="preserve">There is a requirement that the SFC must be consulted on any events which may affect the acceptability of the index. </w:t>
      </w:r>
      <w:r w:rsidR="009D043D">
        <w:t xml:space="preserve"> </w:t>
      </w:r>
      <w:r w:rsidR="009D043D" w:rsidRPr="00A7510E">
        <w:rPr>
          <w:sz w:val="22"/>
          <w:szCs w:val="22"/>
        </w:rPr>
        <w:t>The index provider is expected to possess the necessary expertise and technical resources to construct, maintain and review the methodology/rules of the index. The methodology/rules should be well documented, consistent and transparent.</w:t>
      </w:r>
    </w:p>
    <w:p w:rsidR="001D5833" w:rsidRDefault="001D5833" w:rsidP="001D5833">
      <w:pPr>
        <w:pStyle w:val="ListParagraph"/>
        <w:snapToGrid w:val="0"/>
        <w:spacing w:after="0" w:line="240" w:lineRule="auto"/>
        <w:ind w:left="426" w:hanging="294"/>
        <w:jc w:val="both"/>
      </w:pPr>
    </w:p>
    <w:p w:rsidR="001D5833" w:rsidRDefault="001D5833" w:rsidP="001D5833">
      <w:pPr>
        <w:pStyle w:val="ListParagraph"/>
        <w:snapToGrid w:val="0"/>
        <w:spacing w:after="0" w:line="240" w:lineRule="auto"/>
        <w:ind w:left="426" w:hanging="294"/>
        <w:jc w:val="both"/>
      </w:pPr>
      <w:r>
        <w:rPr>
          <w:i/>
        </w:rPr>
        <w:t>Investment Restrictions</w:t>
      </w:r>
    </w:p>
    <w:p w:rsidR="001D5833" w:rsidRDefault="001D5833" w:rsidP="001D5833">
      <w:pPr>
        <w:pStyle w:val="ListParagraph"/>
        <w:snapToGrid w:val="0"/>
        <w:spacing w:after="0" w:line="240" w:lineRule="auto"/>
        <w:ind w:left="426" w:hanging="294"/>
        <w:jc w:val="both"/>
      </w:pPr>
    </w:p>
    <w:p w:rsidR="001D5833" w:rsidRDefault="001D5833" w:rsidP="001D5833">
      <w:pPr>
        <w:pStyle w:val="ListParagraph"/>
        <w:snapToGrid w:val="0"/>
        <w:spacing w:after="0" w:line="240" w:lineRule="auto"/>
        <w:ind w:left="142"/>
        <w:jc w:val="both"/>
      </w:pPr>
      <w:r>
        <w:t>The normal restriction which limits an authorised CIS holding of securities of a single issuer to no more than 10% of the fund’s net asset value does not apply to an index fund. More than 10% of the fund’s NAV may be invested in constituent securities issued by a single issuer provided that the relevant constituent securities accounts for more than 10% of the weighting of the index and the ETF’s holding of the constituent securities does not exceed their weighting in the index.</w:t>
      </w:r>
    </w:p>
    <w:p w:rsidR="001D5833" w:rsidRDefault="001D5833" w:rsidP="001D5833">
      <w:pPr>
        <w:pStyle w:val="ListParagraph"/>
        <w:snapToGrid w:val="0"/>
        <w:spacing w:after="0" w:line="240" w:lineRule="auto"/>
        <w:ind w:left="426" w:hanging="294"/>
        <w:jc w:val="both"/>
      </w:pPr>
    </w:p>
    <w:p w:rsidR="001D5833" w:rsidRDefault="001D5833" w:rsidP="001D5833">
      <w:pPr>
        <w:pStyle w:val="ListParagraph"/>
        <w:snapToGrid w:val="0"/>
        <w:spacing w:after="0" w:line="240" w:lineRule="auto"/>
        <w:ind w:left="142"/>
        <w:jc w:val="both"/>
      </w:pPr>
      <w:r>
        <w:t xml:space="preserve">The interim and annual financial statements of the ETF must disclose a list of those constituent securities, if </w:t>
      </w:r>
      <w:proofErr w:type="gramStart"/>
      <w:r>
        <w:t>any, that</w:t>
      </w:r>
      <w:proofErr w:type="gramEnd"/>
      <w:r>
        <w:t xml:space="preserve"> account for more than 10% of the weighting of the index as at the end of the relevant period and </w:t>
      </w:r>
      <w:r>
        <w:lastRenderedPageBreak/>
        <w:t>their respective weightings. The statements must also provide a comparison of the ETF’s performance and the actual index performance over the relevant period.</w:t>
      </w:r>
    </w:p>
    <w:p w:rsidR="001D5833" w:rsidRDefault="001D5833" w:rsidP="001D5833">
      <w:pPr>
        <w:pStyle w:val="ListParagraph"/>
        <w:snapToGrid w:val="0"/>
        <w:spacing w:after="0" w:line="240" w:lineRule="auto"/>
        <w:ind w:left="426" w:hanging="294"/>
        <w:jc w:val="both"/>
      </w:pPr>
    </w:p>
    <w:p w:rsidR="001D5833" w:rsidRDefault="001D5833" w:rsidP="001D5833">
      <w:pPr>
        <w:pStyle w:val="ListParagraph"/>
        <w:snapToGrid w:val="0"/>
        <w:spacing w:after="0" w:line="240" w:lineRule="auto"/>
        <w:ind w:left="142"/>
        <w:jc w:val="both"/>
      </w:pPr>
      <w:r>
        <w:t xml:space="preserve">An ETF which adopts a representative sampling strategy is allowed to hold constituent securities in excess of their respective weightings in the index subject to a maximum limit reasonably determined by the ETF after consultation with the SFC.  The maximum limit must be disclosed in the ETF’s product description document or Hong Kong offering document (as the case may be). The </w:t>
      </w:r>
      <w:r>
        <w:br/>
        <w:t>ETF’s interim and annual reports must also disclose whether the maximum limit imposed has been complied with in full. If the maximum limit has not been complied with during the relevant reporting period, this must be reported to the SFC and the reason for the non-compliance should be included in the relevant report or otherwise notified to investors.</w:t>
      </w:r>
    </w:p>
    <w:p w:rsidR="001D5833" w:rsidRDefault="001D5833" w:rsidP="001D5833">
      <w:pPr>
        <w:pStyle w:val="ListParagraph"/>
        <w:snapToGrid w:val="0"/>
        <w:spacing w:after="0" w:line="240" w:lineRule="auto"/>
        <w:ind w:left="142"/>
        <w:jc w:val="both"/>
      </w:pPr>
    </w:p>
    <w:p w:rsidR="001D5833" w:rsidRDefault="001D5833" w:rsidP="001D5833">
      <w:pPr>
        <w:pStyle w:val="ListParagraph"/>
        <w:snapToGrid w:val="0"/>
        <w:spacing w:after="0" w:line="240" w:lineRule="auto"/>
        <w:ind w:left="142"/>
        <w:jc w:val="both"/>
      </w:pPr>
      <w:r>
        <w:rPr>
          <w:i/>
        </w:rPr>
        <w:t xml:space="preserve">Name of the ETF </w:t>
      </w:r>
    </w:p>
    <w:p w:rsidR="001D5833" w:rsidRDefault="001D5833" w:rsidP="001D5833">
      <w:pPr>
        <w:pStyle w:val="ListParagraph"/>
        <w:snapToGrid w:val="0"/>
        <w:spacing w:after="0" w:line="240" w:lineRule="auto"/>
        <w:ind w:left="142"/>
        <w:jc w:val="both"/>
      </w:pPr>
    </w:p>
    <w:p w:rsidR="001D5833" w:rsidRPr="00E629A5" w:rsidRDefault="001D5833" w:rsidP="001D5833">
      <w:pPr>
        <w:pStyle w:val="ListParagraph"/>
        <w:snapToGrid w:val="0"/>
        <w:spacing w:after="0" w:line="240" w:lineRule="auto"/>
        <w:ind w:left="142"/>
        <w:jc w:val="both"/>
      </w:pPr>
      <w:r>
        <w:t>The name of the ETF must reflect the nature of an index fund.  The words “index”, “tracking” and/or “tracker” are expected to appear in the ETF’s name.</w:t>
      </w:r>
    </w:p>
    <w:p w:rsidR="001D5833" w:rsidRDefault="001D5833" w:rsidP="001D5833">
      <w:pPr>
        <w:pStyle w:val="ListParagraph"/>
        <w:snapToGrid w:val="0"/>
        <w:spacing w:after="0" w:line="240" w:lineRule="auto"/>
        <w:ind w:left="142"/>
        <w:jc w:val="both"/>
      </w:pPr>
    </w:p>
    <w:p w:rsidR="001D5833" w:rsidRDefault="001D5833" w:rsidP="001D5833">
      <w:pPr>
        <w:pStyle w:val="ListParagraph"/>
        <w:snapToGrid w:val="0"/>
        <w:spacing w:after="0" w:line="240" w:lineRule="auto"/>
        <w:ind w:left="0" w:firstLine="142"/>
        <w:jc w:val="both"/>
        <w:rPr>
          <w:u w:val="single"/>
        </w:rPr>
      </w:pPr>
      <w:r w:rsidRPr="00E629A5">
        <w:rPr>
          <w:u w:val="single"/>
        </w:rPr>
        <w:t>Additional Disclosure Requirements for ETF Offering Documents</w:t>
      </w:r>
    </w:p>
    <w:p w:rsidR="001D5833" w:rsidRDefault="001D5833" w:rsidP="001D5833">
      <w:pPr>
        <w:pStyle w:val="ListParagraph"/>
        <w:snapToGrid w:val="0"/>
        <w:spacing w:after="0" w:line="240" w:lineRule="auto"/>
        <w:ind w:left="0" w:firstLine="142"/>
        <w:jc w:val="both"/>
        <w:rPr>
          <w:u w:val="single"/>
        </w:rPr>
      </w:pPr>
    </w:p>
    <w:p w:rsidR="001D5833" w:rsidRDefault="001D5833" w:rsidP="001D5833">
      <w:pPr>
        <w:pStyle w:val="ListParagraph"/>
        <w:snapToGrid w:val="0"/>
        <w:spacing w:after="0" w:line="240" w:lineRule="auto"/>
        <w:ind w:left="142"/>
        <w:jc w:val="both"/>
      </w:pPr>
      <w:r>
        <w:t>In addition to the contents requirements specified in Appendix C to the Code, the offering document for an ETF must include the additional disclosures set out in Chapter 8.6(j) of the Code including the following:</w:t>
      </w:r>
    </w:p>
    <w:p w:rsidR="001D5833" w:rsidRDefault="001D5833" w:rsidP="001D5833">
      <w:pPr>
        <w:pStyle w:val="ListParagraph"/>
        <w:snapToGrid w:val="0"/>
        <w:spacing w:after="0" w:line="240" w:lineRule="auto"/>
        <w:ind w:left="142"/>
        <w:jc w:val="both"/>
      </w:pPr>
    </w:p>
    <w:p w:rsidR="001D5833" w:rsidRDefault="001D5833" w:rsidP="001D5833">
      <w:pPr>
        <w:pStyle w:val="ListParagraph"/>
        <w:numPr>
          <w:ilvl w:val="0"/>
          <w:numId w:val="12"/>
        </w:numPr>
        <w:snapToGrid w:val="0"/>
        <w:spacing w:after="0" w:line="240" w:lineRule="auto"/>
        <w:jc w:val="both"/>
      </w:pPr>
      <w:r>
        <w:t>a description of the market or sector the index represents;</w:t>
      </w:r>
    </w:p>
    <w:p w:rsidR="001D5833" w:rsidRDefault="001D5833" w:rsidP="001D5833">
      <w:pPr>
        <w:pStyle w:val="ListParagraph"/>
        <w:numPr>
          <w:ilvl w:val="0"/>
          <w:numId w:val="12"/>
        </w:numPr>
        <w:snapToGrid w:val="0"/>
        <w:spacing w:after="0" w:line="240" w:lineRule="auto"/>
        <w:ind w:left="709" w:hanging="207"/>
        <w:jc w:val="both"/>
      </w:pPr>
      <w:r>
        <w:t>the characteristics and general composition of the index and, where applicable, concentration in any economic sectors and/or issuers;</w:t>
      </w:r>
    </w:p>
    <w:p w:rsidR="001D5833" w:rsidRDefault="001D5833" w:rsidP="001D5833">
      <w:pPr>
        <w:pStyle w:val="ListParagraph"/>
        <w:numPr>
          <w:ilvl w:val="0"/>
          <w:numId w:val="12"/>
        </w:numPr>
        <w:snapToGrid w:val="0"/>
        <w:spacing w:after="0" w:line="240" w:lineRule="auto"/>
        <w:ind w:left="709" w:hanging="207"/>
        <w:jc w:val="both"/>
      </w:pPr>
      <w:r>
        <w:t>the weightings of the top 10 largest constituent securities of the index as of a date within a month of the offering document;</w:t>
      </w:r>
    </w:p>
    <w:p w:rsidR="001D5833" w:rsidRDefault="001D5833" w:rsidP="001D5833">
      <w:pPr>
        <w:pStyle w:val="ListParagraph"/>
        <w:numPr>
          <w:ilvl w:val="0"/>
          <w:numId w:val="12"/>
        </w:numPr>
        <w:snapToGrid w:val="0"/>
        <w:spacing w:after="0" w:line="240" w:lineRule="auto"/>
        <w:ind w:left="709" w:hanging="207"/>
        <w:jc w:val="both"/>
      </w:pPr>
      <w:r>
        <w:t>where necessary, a statement to the effect that the investment of the ETF may be concentrated in the securities of a single issuer or several issuers;</w:t>
      </w:r>
    </w:p>
    <w:p w:rsidR="001D5833" w:rsidRDefault="001D5833" w:rsidP="001D5833">
      <w:pPr>
        <w:pStyle w:val="ListParagraph"/>
        <w:numPr>
          <w:ilvl w:val="0"/>
          <w:numId w:val="12"/>
        </w:numPr>
        <w:snapToGrid w:val="0"/>
        <w:spacing w:after="0" w:line="240" w:lineRule="auto"/>
        <w:ind w:left="709" w:hanging="207"/>
        <w:jc w:val="both"/>
      </w:pPr>
      <w:r>
        <w:t>a warning of a lack of discretion to adapt to market changes due to the inherent investment nature of index funds and that falls in the index are expected to result in corresponding falls in the value of the ETF;</w:t>
      </w:r>
    </w:p>
    <w:p w:rsidR="001D5833" w:rsidRDefault="001D5833" w:rsidP="001D5833">
      <w:pPr>
        <w:pStyle w:val="ListParagraph"/>
        <w:numPr>
          <w:ilvl w:val="0"/>
          <w:numId w:val="12"/>
        </w:numPr>
        <w:snapToGrid w:val="0"/>
        <w:spacing w:after="0" w:line="240" w:lineRule="auto"/>
        <w:ind w:left="709" w:hanging="207"/>
        <w:jc w:val="both"/>
      </w:pPr>
      <w:r>
        <w:t>a statement to the effect that there is no guarantee or assurance of exact or identical replication at any time of the performance of the index;</w:t>
      </w:r>
    </w:p>
    <w:p w:rsidR="001D5833" w:rsidRDefault="001D5833" w:rsidP="001D5833">
      <w:pPr>
        <w:pStyle w:val="ListParagraph"/>
        <w:numPr>
          <w:ilvl w:val="0"/>
          <w:numId w:val="12"/>
        </w:numPr>
        <w:snapToGrid w:val="0"/>
        <w:spacing w:after="0" w:line="240" w:lineRule="auto"/>
        <w:ind w:left="709" w:hanging="207"/>
        <w:jc w:val="both"/>
      </w:pPr>
      <w:r>
        <w:t>circumstances that may lead to tracking errors, the related risks, and strategies employed in minimising such errors</w:t>
      </w:r>
    </w:p>
    <w:p w:rsidR="001D5833" w:rsidRDefault="001D5833" w:rsidP="001D5833">
      <w:pPr>
        <w:pStyle w:val="ListParagraph"/>
        <w:numPr>
          <w:ilvl w:val="0"/>
          <w:numId w:val="12"/>
        </w:numPr>
        <w:snapToGrid w:val="0"/>
        <w:spacing w:after="0" w:line="240" w:lineRule="auto"/>
        <w:ind w:left="709" w:hanging="207"/>
        <w:jc w:val="both"/>
      </w:pPr>
      <w:r>
        <w:t>a brief description of the index methodology/rules and/or the means by which investors may obtain such information (e.g. by providing the website address of the index provider);</w:t>
      </w:r>
    </w:p>
    <w:p w:rsidR="009D043D" w:rsidRDefault="001D5833" w:rsidP="001D5833">
      <w:pPr>
        <w:pStyle w:val="ListParagraph"/>
        <w:numPr>
          <w:ilvl w:val="0"/>
          <w:numId w:val="12"/>
        </w:numPr>
        <w:snapToGrid w:val="0"/>
        <w:spacing w:after="0" w:line="240" w:lineRule="auto"/>
        <w:ind w:left="709" w:hanging="207"/>
        <w:jc w:val="both"/>
      </w:pPr>
      <w:r>
        <w:t xml:space="preserve">the means by which investors may obtain the latest index information and other important news of the index; </w:t>
      </w:r>
    </w:p>
    <w:p w:rsidR="009D043D" w:rsidRPr="009D043D" w:rsidRDefault="009D043D" w:rsidP="00A7510E">
      <w:pPr>
        <w:pStyle w:val="ListParagraph"/>
        <w:numPr>
          <w:ilvl w:val="0"/>
          <w:numId w:val="12"/>
        </w:numPr>
        <w:snapToGrid w:val="0"/>
        <w:spacing w:after="0" w:line="240" w:lineRule="auto"/>
        <w:ind w:left="709" w:hanging="207"/>
        <w:jc w:val="both"/>
      </w:pPr>
      <w:r>
        <w:t>a warning that index composition may change and securities may be delisted;</w:t>
      </w:r>
    </w:p>
    <w:p w:rsidR="009D043D" w:rsidRPr="009D043D" w:rsidRDefault="009D043D" w:rsidP="00A7510E">
      <w:pPr>
        <w:pStyle w:val="ListParagraph"/>
        <w:numPr>
          <w:ilvl w:val="0"/>
          <w:numId w:val="12"/>
        </w:numPr>
        <w:snapToGrid w:val="0"/>
        <w:spacing w:after="0" w:line="240" w:lineRule="auto"/>
        <w:ind w:left="709" w:hanging="207"/>
        <w:jc w:val="both"/>
      </w:pPr>
      <w:r w:rsidRPr="009D043D">
        <w:t>any circumstances that may affect the accuracy and completeness in the</w:t>
      </w:r>
      <w:r>
        <w:t xml:space="preserve"> </w:t>
      </w:r>
      <w:r w:rsidRPr="009D043D">
        <w:t>calculation of the index</w:t>
      </w:r>
      <w:r>
        <w:t>;</w:t>
      </w:r>
    </w:p>
    <w:p w:rsidR="001D5833" w:rsidRPr="009D043D" w:rsidRDefault="009D043D" w:rsidP="00715A2C">
      <w:pPr>
        <w:pStyle w:val="ListParagraph"/>
        <w:numPr>
          <w:ilvl w:val="0"/>
          <w:numId w:val="12"/>
        </w:numPr>
        <w:snapToGrid w:val="0"/>
        <w:spacing w:after="0" w:line="240" w:lineRule="auto"/>
        <w:ind w:left="709" w:hanging="207"/>
        <w:jc w:val="both"/>
      </w:pPr>
      <w:r w:rsidRPr="009D043D">
        <w:t>a warning in relation to any licensing conditions (including indemnity given</w:t>
      </w:r>
      <w:r w:rsidR="00715A2C">
        <w:t xml:space="preserve"> </w:t>
      </w:r>
      <w:r w:rsidRPr="009D043D">
        <w:t>to the index provider, if any) for using the index, and the contingency plan</w:t>
      </w:r>
      <w:r w:rsidR="00715A2C">
        <w:t xml:space="preserve"> </w:t>
      </w:r>
      <w:r w:rsidRPr="00715A2C">
        <w:t>in the event of cessation of the availability of the index;</w:t>
      </w:r>
    </w:p>
    <w:p w:rsidR="009D043D" w:rsidRPr="00B75310" w:rsidRDefault="001D5833" w:rsidP="001D5833">
      <w:pPr>
        <w:pStyle w:val="ListParagraph"/>
        <w:numPr>
          <w:ilvl w:val="0"/>
          <w:numId w:val="12"/>
        </w:numPr>
        <w:snapToGrid w:val="0"/>
        <w:spacing w:after="0" w:line="240" w:lineRule="auto"/>
        <w:ind w:left="709" w:hanging="207"/>
        <w:jc w:val="both"/>
      </w:pPr>
      <w:r>
        <w:t xml:space="preserve">a </w:t>
      </w:r>
      <w:r w:rsidRPr="00B75310">
        <w:t>statement of whether the index provider and the ETF’s management company are independent of each other and, if not, the means by which possible conflicts of interest may be addressed</w:t>
      </w:r>
      <w:r w:rsidR="009D043D" w:rsidRPr="00B75310">
        <w:t>;</w:t>
      </w:r>
    </w:p>
    <w:p w:rsidR="001D5833" w:rsidRPr="003020E6" w:rsidRDefault="009D043D" w:rsidP="00A7510E">
      <w:pPr>
        <w:pStyle w:val="Header"/>
        <w:numPr>
          <w:ilvl w:val="0"/>
          <w:numId w:val="12"/>
        </w:numPr>
        <w:tabs>
          <w:tab w:val="clear" w:pos="4320"/>
          <w:tab w:val="clear" w:pos="8640"/>
        </w:tabs>
        <w:snapToGrid w:val="0"/>
        <w:contextualSpacing/>
        <w:jc w:val="both"/>
      </w:pPr>
      <w:r w:rsidRPr="00A7510E">
        <w:rPr>
          <w:sz w:val="22"/>
          <w:szCs w:val="22"/>
        </w:rPr>
        <w:t xml:space="preserve"> the Commission reserves the right to withdraw the authorization of the index fund if the index is no longer considered acceptable; and</w:t>
      </w:r>
    </w:p>
    <w:p w:rsidR="009D043D" w:rsidRPr="003020E6" w:rsidRDefault="009D043D" w:rsidP="00A7510E">
      <w:pPr>
        <w:pStyle w:val="Header"/>
        <w:numPr>
          <w:ilvl w:val="0"/>
          <w:numId w:val="12"/>
        </w:numPr>
        <w:snapToGrid w:val="0"/>
        <w:contextualSpacing/>
        <w:jc w:val="both"/>
      </w:pPr>
      <w:proofErr w:type="gramStart"/>
      <w:r w:rsidRPr="00B75310">
        <w:rPr>
          <w:sz w:val="22"/>
          <w:szCs w:val="22"/>
          <w:lang w:val="en-GB"/>
        </w:rPr>
        <w:t>any</w:t>
      </w:r>
      <w:proofErr w:type="gramEnd"/>
      <w:r w:rsidRPr="00B75310">
        <w:rPr>
          <w:sz w:val="22"/>
          <w:szCs w:val="22"/>
          <w:lang w:val="en-GB"/>
        </w:rPr>
        <w:t xml:space="preserve"> other information which is relevant and material for investors to make an informed investment decision.</w:t>
      </w:r>
    </w:p>
    <w:p w:rsidR="001D5833" w:rsidRPr="00E629A5" w:rsidRDefault="001D5833" w:rsidP="001D5833">
      <w:pPr>
        <w:pStyle w:val="ListParagraph"/>
        <w:snapToGrid w:val="0"/>
        <w:spacing w:after="0" w:line="240" w:lineRule="auto"/>
        <w:ind w:left="709"/>
        <w:jc w:val="both"/>
      </w:pPr>
    </w:p>
    <w:p w:rsidR="001D5833" w:rsidRDefault="001D5833" w:rsidP="001D5833">
      <w:pPr>
        <w:pStyle w:val="ListParagraph"/>
      </w:pPr>
    </w:p>
    <w:p w:rsidR="001D5833" w:rsidRDefault="001D5833" w:rsidP="001D5833">
      <w:pPr>
        <w:pStyle w:val="ListParagraph"/>
        <w:snapToGrid w:val="0"/>
        <w:spacing w:after="0" w:line="240" w:lineRule="auto"/>
        <w:ind w:left="0"/>
        <w:contextualSpacing w:val="0"/>
        <w:jc w:val="both"/>
        <w:rPr>
          <w:u w:val="single"/>
        </w:rPr>
      </w:pPr>
      <w:r>
        <w:rPr>
          <w:u w:val="single"/>
        </w:rPr>
        <w:lastRenderedPageBreak/>
        <w:t>Ongoing Disclosure Requirements for CIS</w:t>
      </w:r>
    </w:p>
    <w:p w:rsidR="001D5833" w:rsidRDefault="001D5833" w:rsidP="001D5833">
      <w:pPr>
        <w:pStyle w:val="ListParagraph"/>
        <w:snapToGrid w:val="0"/>
        <w:spacing w:after="0" w:line="240" w:lineRule="auto"/>
        <w:ind w:left="0"/>
        <w:contextualSpacing w:val="0"/>
        <w:jc w:val="both"/>
        <w:rPr>
          <w:u w:val="single"/>
        </w:rPr>
      </w:pPr>
    </w:p>
    <w:p w:rsidR="001D5833" w:rsidRDefault="001D5833" w:rsidP="001D5833">
      <w:pPr>
        <w:pStyle w:val="ListParagraph"/>
        <w:snapToGrid w:val="0"/>
        <w:spacing w:after="0" w:line="240" w:lineRule="auto"/>
        <w:ind w:left="0"/>
        <w:contextualSpacing w:val="0"/>
        <w:jc w:val="both"/>
      </w:pPr>
      <w:r>
        <w:t>The following requirements must be complied with by an authorised CIS on an ongoing basis:</w:t>
      </w:r>
    </w:p>
    <w:p w:rsidR="001D5833" w:rsidRDefault="001D5833" w:rsidP="001D5833">
      <w:pPr>
        <w:pStyle w:val="ListParagraph"/>
        <w:snapToGrid w:val="0"/>
        <w:spacing w:after="0" w:line="240" w:lineRule="auto"/>
        <w:ind w:left="0"/>
        <w:contextualSpacing w:val="0"/>
        <w:jc w:val="both"/>
      </w:pPr>
    </w:p>
    <w:p w:rsidR="001D5833" w:rsidRDefault="001D5833" w:rsidP="001D5833">
      <w:pPr>
        <w:pStyle w:val="ListParagraph"/>
        <w:snapToGrid w:val="0"/>
        <w:spacing w:after="0" w:line="240" w:lineRule="auto"/>
        <w:contextualSpacing w:val="0"/>
        <w:jc w:val="both"/>
      </w:pPr>
    </w:p>
    <w:p w:rsidR="001D5833" w:rsidRDefault="001D5833" w:rsidP="001D5833">
      <w:pPr>
        <w:pStyle w:val="ListParagraph"/>
        <w:numPr>
          <w:ilvl w:val="0"/>
          <w:numId w:val="6"/>
        </w:numPr>
        <w:snapToGrid w:val="0"/>
        <w:spacing w:after="0" w:line="240" w:lineRule="auto"/>
        <w:contextualSpacing w:val="0"/>
        <w:jc w:val="both"/>
      </w:pPr>
      <w:proofErr w:type="gramStart"/>
      <w:r>
        <w:t>ongoing</w:t>
      </w:r>
      <w:proofErr w:type="gramEnd"/>
      <w:r>
        <w:t xml:space="preserve"> disclosures: proposed changes to the CIS (e.g. to constitutive documents, </w:t>
      </w:r>
      <w:r w:rsidR="002D5BF3">
        <w:t>trustee/custodian</w:t>
      </w:r>
      <w:r>
        <w:t>,</w:t>
      </w:r>
      <w:r w:rsidR="002D5BF3">
        <w:t xml:space="preserve"> management company,</w:t>
      </w:r>
      <w:r>
        <w:t xml:space="preserve"> investment objectives etc.) must be submitted to the SFC for</w:t>
      </w:r>
      <w:r w:rsidR="006306A6">
        <w:t xml:space="preserve"> prior</w:t>
      </w:r>
      <w:r>
        <w:t xml:space="preserve"> approval</w:t>
      </w:r>
      <w:r w:rsidR="006306A6">
        <w:t xml:space="preserve">. For changes to a scheme that require SFC’s prior approval, SFC will determine whether holders should be notified and the period of notice. For changes that do not require the SFC’s prior approval, the management company should provide holders with reasonable prior notice or inform holders as soon as reasonably practicable of any information concerning the scheme which is necessary to enable holders to appraise the position of the scheme.  </w:t>
      </w:r>
      <w:r>
        <w:t>;</w:t>
      </w:r>
    </w:p>
    <w:p w:rsidR="001D5833" w:rsidRDefault="001D5833" w:rsidP="001D5833">
      <w:pPr>
        <w:pStyle w:val="ListParagraph"/>
        <w:snapToGrid w:val="0"/>
        <w:spacing w:after="0" w:line="240" w:lineRule="auto"/>
        <w:contextualSpacing w:val="0"/>
        <w:jc w:val="both"/>
      </w:pPr>
    </w:p>
    <w:p w:rsidR="006306A6" w:rsidRDefault="006306A6" w:rsidP="001D5833">
      <w:pPr>
        <w:pStyle w:val="ListParagraph"/>
        <w:numPr>
          <w:ilvl w:val="0"/>
          <w:numId w:val="6"/>
        </w:numPr>
        <w:snapToGrid w:val="0"/>
        <w:spacing w:after="0" w:line="240" w:lineRule="auto"/>
        <w:contextualSpacing w:val="0"/>
        <w:jc w:val="both"/>
      </w:pPr>
      <w:r w:rsidRPr="00B75310">
        <w:t>withdraw</w:t>
      </w:r>
      <w:r w:rsidR="00B75310" w:rsidRPr="00A7510E">
        <w:t>a</w:t>
      </w:r>
      <w:r w:rsidRPr="00B75310">
        <w:t>l of</w:t>
      </w:r>
      <w:r>
        <w:t xml:space="preserve"> authorisation: an application for withdrawal of authorisation of the scheme must be submitted to the SFC for prior approval;</w:t>
      </w:r>
    </w:p>
    <w:p w:rsidR="006306A6" w:rsidRDefault="006306A6" w:rsidP="00A7510E">
      <w:pPr>
        <w:pStyle w:val="ListParagraph"/>
      </w:pPr>
    </w:p>
    <w:p w:rsidR="006306A6" w:rsidRDefault="006306A6" w:rsidP="001D5833">
      <w:pPr>
        <w:pStyle w:val="ListParagraph"/>
        <w:numPr>
          <w:ilvl w:val="0"/>
          <w:numId w:val="6"/>
        </w:numPr>
        <w:snapToGrid w:val="0"/>
        <w:spacing w:after="0" w:line="240" w:lineRule="auto"/>
        <w:contextualSpacing w:val="0"/>
        <w:jc w:val="both"/>
      </w:pPr>
      <w:proofErr w:type="gramStart"/>
      <w:r>
        <w:t>merger</w:t>
      </w:r>
      <w:proofErr w:type="gramEnd"/>
      <w:r>
        <w:t xml:space="preserve"> or termination: if a scheme is to be terminated, the management company should follow the procedures as set out in the scheme’s constitutive documents or governing law. Notice should be given to investors as determined by the SFC.</w:t>
      </w:r>
    </w:p>
    <w:p w:rsidR="006306A6" w:rsidRDefault="006306A6" w:rsidP="00A7510E">
      <w:pPr>
        <w:pStyle w:val="ListParagraph"/>
      </w:pPr>
    </w:p>
    <w:p w:rsidR="006306A6" w:rsidRDefault="001D5833" w:rsidP="00B75310">
      <w:pPr>
        <w:pStyle w:val="ListParagraph"/>
        <w:numPr>
          <w:ilvl w:val="0"/>
          <w:numId w:val="6"/>
        </w:numPr>
        <w:snapToGrid w:val="0"/>
        <w:spacing w:after="0" w:line="240" w:lineRule="auto"/>
        <w:contextualSpacing w:val="0"/>
        <w:jc w:val="both"/>
      </w:pPr>
      <w:proofErr w:type="gramStart"/>
      <w:r>
        <w:t>reporting</w:t>
      </w:r>
      <w:proofErr w:type="gramEnd"/>
      <w:r>
        <w:t xml:space="preserve">: at least two reports must be published for each financial year. Annual reports and accounts containing information in Appendix E to the Code must be published and distributed within 4 months of the end of the scheme’s financial year and interim reports must be published and distributed within 2 months of the end of the period they cover; </w:t>
      </w:r>
    </w:p>
    <w:p w:rsidR="00B75310" w:rsidRDefault="00B75310" w:rsidP="00A7510E">
      <w:pPr>
        <w:snapToGrid w:val="0"/>
        <w:spacing w:after="0" w:line="240" w:lineRule="auto"/>
        <w:jc w:val="both"/>
      </w:pPr>
    </w:p>
    <w:p w:rsidR="00B75310" w:rsidRPr="00A7510E" w:rsidRDefault="006306A6" w:rsidP="00B75310">
      <w:pPr>
        <w:pStyle w:val="Header"/>
        <w:numPr>
          <w:ilvl w:val="0"/>
          <w:numId w:val="6"/>
        </w:numPr>
        <w:tabs>
          <w:tab w:val="clear" w:pos="4320"/>
          <w:tab w:val="clear" w:pos="8640"/>
        </w:tabs>
        <w:snapToGrid w:val="0"/>
        <w:contextualSpacing/>
        <w:jc w:val="both"/>
        <w:rPr>
          <w:sz w:val="22"/>
          <w:szCs w:val="22"/>
        </w:rPr>
      </w:pPr>
      <w:r w:rsidRPr="00A7510E">
        <w:rPr>
          <w:sz w:val="22"/>
          <w:szCs w:val="22"/>
        </w:rPr>
        <w:t>publication of prices of a scheme: The scheme's latest available offer and redemption prices or net asset value must be calculated and made public free of charge on every dealing day in an appropriate manner;</w:t>
      </w:r>
    </w:p>
    <w:p w:rsidR="00B75310" w:rsidRPr="00A7510E" w:rsidRDefault="00B75310" w:rsidP="00A7510E">
      <w:pPr>
        <w:pStyle w:val="Header"/>
        <w:tabs>
          <w:tab w:val="clear" w:pos="4320"/>
          <w:tab w:val="clear" w:pos="8640"/>
        </w:tabs>
        <w:snapToGrid w:val="0"/>
        <w:ind w:left="720"/>
        <w:contextualSpacing/>
        <w:jc w:val="both"/>
        <w:rPr>
          <w:sz w:val="22"/>
          <w:szCs w:val="22"/>
        </w:rPr>
      </w:pPr>
    </w:p>
    <w:p w:rsidR="001D5833" w:rsidRPr="003020E6" w:rsidRDefault="006306A6" w:rsidP="00A7510E">
      <w:pPr>
        <w:pStyle w:val="Header"/>
        <w:numPr>
          <w:ilvl w:val="0"/>
          <w:numId w:val="6"/>
        </w:numPr>
        <w:tabs>
          <w:tab w:val="clear" w:pos="4320"/>
          <w:tab w:val="clear" w:pos="8640"/>
        </w:tabs>
        <w:snapToGrid w:val="0"/>
        <w:contextualSpacing/>
        <w:jc w:val="both"/>
      </w:pPr>
      <w:r w:rsidRPr="00A7510E">
        <w:rPr>
          <w:sz w:val="22"/>
          <w:szCs w:val="22"/>
        </w:rPr>
        <w:t xml:space="preserve">Reporting to SFC: </w:t>
      </w:r>
      <w:r w:rsidR="002F28CD" w:rsidRPr="00A7510E">
        <w:rPr>
          <w:sz w:val="22"/>
          <w:szCs w:val="22"/>
        </w:rPr>
        <w:t>Subsequent to the authorization of the scheme, all financial reports produced by or for the scheme must be filed with the SFC; and</w:t>
      </w:r>
    </w:p>
    <w:p w:rsidR="001D5833" w:rsidRDefault="001D5833" w:rsidP="001D5833">
      <w:pPr>
        <w:pStyle w:val="ListParagraph"/>
        <w:snapToGrid w:val="0"/>
        <w:spacing w:after="0" w:line="240" w:lineRule="auto"/>
        <w:contextualSpacing w:val="0"/>
        <w:jc w:val="both"/>
      </w:pPr>
    </w:p>
    <w:p w:rsidR="001D5833" w:rsidRPr="002B15A7" w:rsidRDefault="001D5833" w:rsidP="001D5833">
      <w:pPr>
        <w:pStyle w:val="ListParagraph"/>
        <w:numPr>
          <w:ilvl w:val="0"/>
          <w:numId w:val="6"/>
        </w:numPr>
        <w:snapToGrid w:val="0"/>
        <w:spacing w:after="0" w:line="240" w:lineRule="auto"/>
        <w:contextualSpacing w:val="0"/>
        <w:jc w:val="both"/>
      </w:pPr>
      <w:proofErr w:type="gramStart"/>
      <w:r>
        <w:t>maintenance</w:t>
      </w:r>
      <w:proofErr w:type="gramEnd"/>
      <w:r>
        <w:t xml:space="preserve"> of website: as described earlier.</w:t>
      </w:r>
    </w:p>
    <w:p w:rsidR="001D5833" w:rsidRDefault="001D5833" w:rsidP="001D5833">
      <w:pPr>
        <w:pStyle w:val="ListParagraph"/>
        <w:snapToGrid w:val="0"/>
        <w:spacing w:after="0" w:line="240" w:lineRule="auto"/>
        <w:ind w:left="0"/>
        <w:contextualSpacing w:val="0"/>
        <w:jc w:val="both"/>
      </w:pPr>
    </w:p>
    <w:p w:rsidR="001D5833" w:rsidRDefault="001D5833" w:rsidP="001D5833">
      <w:pPr>
        <w:pStyle w:val="ListParagraph"/>
        <w:snapToGrid w:val="0"/>
        <w:spacing w:after="0" w:line="240" w:lineRule="auto"/>
        <w:ind w:left="0"/>
        <w:contextualSpacing w:val="0"/>
        <w:jc w:val="both"/>
        <w:rPr>
          <w:b/>
        </w:rPr>
      </w:pPr>
    </w:p>
    <w:p w:rsidR="001D5833" w:rsidRDefault="001D5833" w:rsidP="001D5833">
      <w:pPr>
        <w:pStyle w:val="ListParagraph"/>
        <w:snapToGrid w:val="0"/>
        <w:spacing w:after="0" w:line="240" w:lineRule="auto"/>
        <w:ind w:left="0"/>
        <w:contextualSpacing w:val="0"/>
        <w:jc w:val="both"/>
        <w:rPr>
          <w:b/>
        </w:rPr>
      </w:pPr>
      <w:r>
        <w:rPr>
          <w:b/>
        </w:rPr>
        <w:t>Additional requirements for synthetic ETFs</w:t>
      </w:r>
    </w:p>
    <w:p w:rsidR="001D5833" w:rsidRDefault="001D5833" w:rsidP="001D5833">
      <w:pPr>
        <w:pStyle w:val="ListParagraph"/>
        <w:snapToGrid w:val="0"/>
        <w:spacing w:after="0" w:line="240" w:lineRule="auto"/>
        <w:ind w:left="0"/>
        <w:contextualSpacing w:val="0"/>
        <w:jc w:val="both"/>
        <w:rPr>
          <w:b/>
        </w:rPr>
      </w:pPr>
    </w:p>
    <w:p w:rsidR="001D5833" w:rsidRPr="00E629A5" w:rsidRDefault="001D5833" w:rsidP="001D5833">
      <w:pPr>
        <w:pStyle w:val="ListParagraph"/>
        <w:snapToGrid w:val="0"/>
        <w:spacing w:after="0" w:line="240" w:lineRule="auto"/>
        <w:ind w:left="0"/>
        <w:jc w:val="both"/>
        <w:rPr>
          <w:lang w:val="en-US"/>
        </w:rPr>
      </w:pPr>
      <w:r>
        <w:rPr>
          <w:lang w:val="en-US"/>
        </w:rPr>
        <w:t>W</w:t>
      </w:r>
      <w:r w:rsidRPr="00E629A5">
        <w:rPr>
          <w:lang w:val="en-US"/>
        </w:rPr>
        <w:t>henever the name of a synthetic ETF listed on the Exchange is mentioned in an offering document or marketing materials, an asterisk (*) and an annotation in English “*this is a synthetic ETF” must be included immediately after.</w:t>
      </w:r>
    </w:p>
    <w:p w:rsidR="001D5833" w:rsidRDefault="001D5833" w:rsidP="001D5833">
      <w:pPr>
        <w:pStyle w:val="ListParagraph"/>
        <w:snapToGrid w:val="0"/>
        <w:spacing w:after="0" w:line="240" w:lineRule="auto"/>
        <w:ind w:left="0"/>
        <w:rPr>
          <w:lang w:val="en-US"/>
        </w:rPr>
      </w:pPr>
    </w:p>
    <w:p w:rsidR="001D5833" w:rsidRPr="00E629A5" w:rsidRDefault="001D5833" w:rsidP="001D5833">
      <w:pPr>
        <w:pStyle w:val="ListParagraph"/>
        <w:snapToGrid w:val="0"/>
        <w:spacing w:after="0" w:line="240" w:lineRule="auto"/>
        <w:ind w:left="0"/>
        <w:rPr>
          <w:lang w:val="en-US"/>
        </w:rPr>
      </w:pPr>
      <w:r w:rsidRPr="00E629A5">
        <w:rPr>
          <w:lang w:val="en-US"/>
        </w:rPr>
        <w:t xml:space="preserve">The Exchange requires the inclusion of an “x” at the beginning of the name of each synthetic ETF’s stock name to distinguish between physical and synthetic ETFs. </w:t>
      </w:r>
    </w:p>
    <w:p w:rsidR="001D5833" w:rsidRDefault="001D5833" w:rsidP="001D5833">
      <w:pPr>
        <w:pStyle w:val="ListParagraph"/>
        <w:snapToGrid w:val="0"/>
        <w:spacing w:after="0" w:line="240" w:lineRule="auto"/>
        <w:ind w:left="0"/>
        <w:rPr>
          <w:lang w:val="en-US"/>
        </w:rPr>
      </w:pPr>
    </w:p>
    <w:p w:rsidR="001D5833" w:rsidRDefault="001D5833" w:rsidP="001D5833">
      <w:pPr>
        <w:pStyle w:val="ListParagraph"/>
        <w:snapToGrid w:val="0"/>
        <w:spacing w:after="0" w:line="240" w:lineRule="auto"/>
        <w:ind w:left="0"/>
        <w:jc w:val="both"/>
        <w:rPr>
          <w:lang w:val="en-US"/>
        </w:rPr>
      </w:pPr>
      <w:r>
        <w:rPr>
          <w:lang w:val="en-US"/>
        </w:rPr>
        <w:t>Where the management company of an index fund adopts a synthetic replication strategy by investing in financial derivatives to replicate index performance, the fund must comply with the requirements of Chapter 8.8 of the Code.  These include the following:</w:t>
      </w:r>
    </w:p>
    <w:p w:rsidR="001D5833" w:rsidRDefault="001D5833" w:rsidP="001D5833">
      <w:pPr>
        <w:pStyle w:val="ListParagraph"/>
        <w:snapToGrid w:val="0"/>
        <w:spacing w:after="0" w:line="240" w:lineRule="auto"/>
        <w:ind w:left="0"/>
        <w:jc w:val="both"/>
        <w:rPr>
          <w:lang w:val="en-US"/>
        </w:rPr>
      </w:pPr>
    </w:p>
    <w:p w:rsidR="001D5833" w:rsidRDefault="001D5833" w:rsidP="001D5833">
      <w:pPr>
        <w:pStyle w:val="ListParagraph"/>
        <w:numPr>
          <w:ilvl w:val="0"/>
          <w:numId w:val="13"/>
        </w:numPr>
        <w:snapToGrid w:val="0"/>
        <w:spacing w:after="0" w:line="240" w:lineRule="auto"/>
        <w:ind w:left="720"/>
        <w:jc w:val="both"/>
        <w:rPr>
          <w:lang w:val="en-US"/>
        </w:rPr>
      </w:pPr>
      <w:r>
        <w:rPr>
          <w:lang w:val="en-US"/>
        </w:rPr>
        <w:t>the ETF management company and the issuer of financial derivative instruments must be independent of each other; and</w:t>
      </w:r>
    </w:p>
    <w:p w:rsidR="001D5833" w:rsidRDefault="001D5833" w:rsidP="001D5833">
      <w:pPr>
        <w:pStyle w:val="ListParagraph"/>
        <w:snapToGrid w:val="0"/>
        <w:spacing w:after="0" w:line="240" w:lineRule="auto"/>
        <w:jc w:val="both"/>
        <w:rPr>
          <w:lang w:val="en-US"/>
        </w:rPr>
      </w:pPr>
    </w:p>
    <w:p w:rsidR="001D5833" w:rsidRDefault="001D5833" w:rsidP="001D5833">
      <w:pPr>
        <w:pStyle w:val="ListParagraph"/>
        <w:numPr>
          <w:ilvl w:val="0"/>
          <w:numId w:val="13"/>
        </w:numPr>
        <w:snapToGrid w:val="0"/>
        <w:spacing w:after="0" w:line="240" w:lineRule="auto"/>
        <w:ind w:left="720"/>
        <w:jc w:val="both"/>
        <w:rPr>
          <w:lang w:val="en-US"/>
        </w:rPr>
      </w:pPr>
      <w:proofErr w:type="gramStart"/>
      <w:r>
        <w:rPr>
          <w:lang w:val="en-US"/>
        </w:rPr>
        <w:t>collateral</w:t>
      </w:r>
      <w:proofErr w:type="gramEnd"/>
      <w:r>
        <w:rPr>
          <w:lang w:val="en-US"/>
        </w:rPr>
        <w:t xml:space="preserve"> has to be provided to limit the exposure of the ETF to the counterparty risk of the issuer of financial derivative instruments to no more than 10% of the net asset value of the ETF. The collateral </w:t>
      </w:r>
      <w:r>
        <w:rPr>
          <w:lang w:val="en-US"/>
        </w:rPr>
        <w:lastRenderedPageBreak/>
        <w:t>must be held by the trustee/custodian of the synthetic ETF and must be readily accessible/enforceable by it without further recourse to the issuer of the financial derivative instruments.</w:t>
      </w:r>
    </w:p>
    <w:p w:rsidR="001D5833" w:rsidRDefault="001D5833" w:rsidP="001D5833">
      <w:pPr>
        <w:pStyle w:val="ListParagraph"/>
        <w:snapToGrid w:val="0"/>
        <w:spacing w:after="0" w:line="240" w:lineRule="auto"/>
        <w:ind w:left="0"/>
        <w:rPr>
          <w:lang w:val="en-US"/>
        </w:rPr>
      </w:pPr>
      <w:r>
        <w:rPr>
          <w:lang w:val="en-US"/>
        </w:rPr>
        <w:t xml:space="preserve"> </w:t>
      </w:r>
    </w:p>
    <w:p w:rsidR="001D5833" w:rsidRDefault="001D5833" w:rsidP="001D5833">
      <w:pPr>
        <w:pStyle w:val="ListParagraph"/>
        <w:snapToGrid w:val="0"/>
        <w:spacing w:after="0" w:line="240" w:lineRule="auto"/>
        <w:ind w:left="0"/>
        <w:rPr>
          <w:lang w:val="en-US"/>
        </w:rPr>
      </w:pPr>
      <w:r w:rsidRPr="00E629A5">
        <w:rPr>
          <w:lang w:val="en-US"/>
        </w:rPr>
        <w:t>Synthetic ETFs are required to have collateral when investing in derivatives and details of the net and gross counterparty exposure and types and composition of the collateral must be published on the ETF’s website.</w:t>
      </w:r>
    </w:p>
    <w:p w:rsidR="001D5833" w:rsidRDefault="001D5833" w:rsidP="001D5833">
      <w:pPr>
        <w:pStyle w:val="ListParagraph"/>
        <w:snapToGrid w:val="0"/>
        <w:spacing w:after="0" w:line="240" w:lineRule="auto"/>
        <w:ind w:left="0"/>
        <w:rPr>
          <w:lang w:val="en-US"/>
        </w:rPr>
      </w:pPr>
    </w:p>
    <w:p w:rsidR="001D5833" w:rsidRDefault="001D5833" w:rsidP="001D5833">
      <w:pPr>
        <w:pStyle w:val="ListParagraph"/>
        <w:snapToGrid w:val="0"/>
        <w:spacing w:after="0" w:line="240" w:lineRule="auto"/>
        <w:ind w:left="0"/>
        <w:rPr>
          <w:lang w:val="en-US"/>
        </w:rPr>
      </w:pPr>
      <w:r>
        <w:rPr>
          <w:lang w:val="en-US"/>
        </w:rPr>
        <w:t>There are additional requirements for domestic synthetic ETFs which require their ETF managers to:</w:t>
      </w:r>
    </w:p>
    <w:p w:rsidR="001D5833" w:rsidRDefault="001D5833" w:rsidP="001D5833">
      <w:pPr>
        <w:pStyle w:val="ListParagraph"/>
        <w:snapToGrid w:val="0"/>
        <w:spacing w:after="0" w:line="240" w:lineRule="auto"/>
        <w:ind w:left="0"/>
        <w:rPr>
          <w:lang w:val="en-US"/>
        </w:rPr>
      </w:pPr>
    </w:p>
    <w:p w:rsidR="001D5833" w:rsidRDefault="001D5833" w:rsidP="001D5833">
      <w:pPr>
        <w:pStyle w:val="ListParagraph"/>
        <w:numPr>
          <w:ilvl w:val="0"/>
          <w:numId w:val="15"/>
        </w:numPr>
        <w:snapToGrid w:val="0"/>
        <w:spacing w:after="0" w:line="240" w:lineRule="auto"/>
        <w:jc w:val="both"/>
        <w:rPr>
          <w:lang w:val="en-US"/>
        </w:rPr>
      </w:pPr>
      <w:r>
        <w:rPr>
          <w:lang w:val="en-US"/>
        </w:rPr>
        <w:t xml:space="preserve">top-up the collateral level for each domestic synthetic ETF to achieve at least 100% </w:t>
      </w:r>
      <w:proofErr w:type="spellStart"/>
      <w:r>
        <w:rPr>
          <w:lang w:val="en-US"/>
        </w:rPr>
        <w:t>collateralisation</w:t>
      </w:r>
      <w:proofErr w:type="spellEnd"/>
      <w:r>
        <w:rPr>
          <w:lang w:val="en-US"/>
        </w:rPr>
        <w:t xml:space="preserve"> to ensure there is no </w:t>
      </w:r>
      <w:proofErr w:type="spellStart"/>
      <w:r>
        <w:rPr>
          <w:lang w:val="en-US"/>
        </w:rPr>
        <w:t>uncollateralised</w:t>
      </w:r>
      <w:proofErr w:type="spellEnd"/>
      <w:r>
        <w:rPr>
          <w:lang w:val="en-US"/>
        </w:rPr>
        <w:t xml:space="preserve"> counterparty risk exposure arising from the use of financial derivatives to replicate index performance; and</w:t>
      </w:r>
    </w:p>
    <w:p w:rsidR="001D5833" w:rsidRDefault="001D5833" w:rsidP="001D5833">
      <w:pPr>
        <w:pStyle w:val="ListParagraph"/>
        <w:snapToGrid w:val="0"/>
        <w:spacing w:after="0" w:line="240" w:lineRule="auto"/>
        <w:jc w:val="both"/>
        <w:rPr>
          <w:lang w:val="en-US"/>
        </w:rPr>
      </w:pPr>
    </w:p>
    <w:p w:rsidR="001D5833" w:rsidRPr="00E629A5" w:rsidRDefault="001D5833" w:rsidP="001D5833">
      <w:pPr>
        <w:pStyle w:val="ListParagraph"/>
        <w:numPr>
          <w:ilvl w:val="0"/>
          <w:numId w:val="15"/>
        </w:numPr>
        <w:snapToGrid w:val="0"/>
        <w:spacing w:after="0" w:line="240" w:lineRule="auto"/>
        <w:jc w:val="both"/>
        <w:rPr>
          <w:lang w:val="en-US"/>
        </w:rPr>
      </w:pPr>
      <w:r>
        <w:rPr>
          <w:lang w:val="en-US"/>
        </w:rPr>
        <w:t xml:space="preserve">to put in place a prudent haircut policy: in particular, where the collateral taken is in the form of equity securities, the market value of such equity collateral must be equivalent to at least 120% of the related gross counterparty risk exposure. </w:t>
      </w:r>
    </w:p>
    <w:p w:rsidR="001D5833" w:rsidRDefault="001D5833" w:rsidP="001D5833">
      <w:pPr>
        <w:pStyle w:val="ListParagraph"/>
        <w:snapToGrid w:val="0"/>
        <w:spacing w:after="0" w:line="240" w:lineRule="auto"/>
        <w:ind w:left="0"/>
        <w:contextualSpacing w:val="0"/>
        <w:jc w:val="both"/>
        <w:rPr>
          <w:b/>
          <w:lang w:val="en-US"/>
        </w:rPr>
      </w:pPr>
    </w:p>
    <w:p w:rsidR="001D5833" w:rsidRPr="00C135A1" w:rsidRDefault="001D5833" w:rsidP="001D5833">
      <w:pPr>
        <w:pStyle w:val="Heading1"/>
        <w:rPr>
          <w:rFonts w:ascii="Times New Roman" w:hAnsi="Times New Roman"/>
          <w:sz w:val="24"/>
          <w:szCs w:val="24"/>
        </w:rPr>
      </w:pPr>
      <w:bookmarkStart w:id="4" w:name="_Toc476841230"/>
      <w:r w:rsidRPr="00C135A1">
        <w:rPr>
          <w:rFonts w:ascii="Times New Roman" w:hAnsi="Times New Roman"/>
          <w:sz w:val="24"/>
          <w:szCs w:val="24"/>
        </w:rPr>
        <w:t>Listing of ETFs on the HKSE</w:t>
      </w:r>
      <w:bookmarkEnd w:id="4"/>
    </w:p>
    <w:p w:rsidR="001D5833" w:rsidRDefault="001D5833" w:rsidP="001D5833">
      <w:pPr>
        <w:pStyle w:val="ListParagraph"/>
        <w:snapToGrid w:val="0"/>
        <w:spacing w:after="0" w:line="240" w:lineRule="auto"/>
        <w:ind w:left="0"/>
        <w:contextualSpacing w:val="0"/>
        <w:jc w:val="both"/>
      </w:pPr>
    </w:p>
    <w:p w:rsidR="001D5833" w:rsidRDefault="001D5833" w:rsidP="001D5833">
      <w:pPr>
        <w:pStyle w:val="ListParagraph"/>
        <w:snapToGrid w:val="0"/>
        <w:spacing w:after="0" w:line="240" w:lineRule="auto"/>
        <w:ind w:left="0"/>
        <w:contextualSpacing w:val="0"/>
        <w:jc w:val="both"/>
      </w:pPr>
      <w:r w:rsidRPr="00371E57">
        <w:t xml:space="preserve">The </w:t>
      </w:r>
      <w:r>
        <w:t xml:space="preserve">HKSE is responsible for listing CISs (including ETFs) and vets the listing documents and other relevant documents in respect of listing issues not covered by the Code, supervising the conduct of the listing process and monitoring continuing compliance with the Listing Rules. </w:t>
      </w:r>
    </w:p>
    <w:p w:rsidR="001D5833" w:rsidRDefault="001D5833" w:rsidP="001D5833">
      <w:pPr>
        <w:pStyle w:val="ListParagraph"/>
        <w:snapToGrid w:val="0"/>
        <w:spacing w:after="0" w:line="240" w:lineRule="auto"/>
        <w:ind w:left="0"/>
        <w:contextualSpacing w:val="0"/>
        <w:jc w:val="both"/>
      </w:pPr>
    </w:p>
    <w:p w:rsidR="001D5833" w:rsidRPr="00371E57" w:rsidRDefault="001D5833" w:rsidP="001D5833">
      <w:pPr>
        <w:pStyle w:val="ListParagraph"/>
        <w:snapToGrid w:val="0"/>
        <w:spacing w:after="0" w:line="240" w:lineRule="auto"/>
        <w:ind w:left="0"/>
        <w:contextualSpacing w:val="0"/>
        <w:jc w:val="both"/>
      </w:pPr>
      <w:r>
        <w:t>The HKSE will normally grant a listing in respect of a CIS which has been authorised by the SFC although this is not absolute and is subject to the discretion of the HKSE to accept or reject an application.</w:t>
      </w:r>
    </w:p>
    <w:p w:rsidR="001D5833" w:rsidRDefault="001D5833" w:rsidP="001D5833">
      <w:pPr>
        <w:pStyle w:val="ListParagraph"/>
        <w:snapToGrid w:val="0"/>
        <w:spacing w:after="0" w:line="240" w:lineRule="auto"/>
        <w:ind w:left="0"/>
        <w:contextualSpacing w:val="0"/>
        <w:jc w:val="both"/>
        <w:rPr>
          <w:b/>
        </w:rPr>
      </w:pPr>
    </w:p>
    <w:p w:rsidR="001D5833" w:rsidRPr="00371E57" w:rsidRDefault="001D5833" w:rsidP="001D5833">
      <w:pPr>
        <w:pStyle w:val="ListParagraph"/>
        <w:snapToGrid w:val="0"/>
        <w:spacing w:after="0" w:line="240" w:lineRule="auto"/>
        <w:ind w:left="0"/>
        <w:contextualSpacing w:val="0"/>
        <w:jc w:val="both"/>
        <w:rPr>
          <w:u w:val="single"/>
        </w:rPr>
      </w:pPr>
      <w:r w:rsidRPr="00371E57">
        <w:rPr>
          <w:u w:val="single"/>
        </w:rPr>
        <w:t>Application</w:t>
      </w:r>
    </w:p>
    <w:p w:rsidR="001D5833" w:rsidRDefault="001D5833" w:rsidP="001D5833">
      <w:pPr>
        <w:snapToGrid w:val="0"/>
        <w:spacing w:after="0" w:line="240" w:lineRule="auto"/>
        <w:jc w:val="both"/>
      </w:pPr>
    </w:p>
    <w:p w:rsidR="001D5833" w:rsidRDefault="001D5833" w:rsidP="001D5833">
      <w:pPr>
        <w:snapToGrid w:val="0"/>
        <w:spacing w:after="0" w:line="240" w:lineRule="auto"/>
        <w:jc w:val="both"/>
      </w:pPr>
      <w:r>
        <w:t>An application for listing (which includes the proposed timetable) must be made to the HKSE, using the prescribed form set out in Form A2 in Appendix 5 of the Listing Rules.</w:t>
      </w:r>
    </w:p>
    <w:p w:rsidR="001D5833" w:rsidRDefault="001D5833" w:rsidP="001D5833">
      <w:pPr>
        <w:snapToGrid w:val="0"/>
        <w:spacing w:after="0" w:line="240" w:lineRule="auto"/>
        <w:jc w:val="both"/>
      </w:pPr>
    </w:p>
    <w:p w:rsidR="001D5833" w:rsidRDefault="001D5833" w:rsidP="001D5833">
      <w:pPr>
        <w:snapToGrid w:val="0"/>
        <w:spacing w:after="0" w:line="240" w:lineRule="auto"/>
        <w:jc w:val="both"/>
      </w:pPr>
      <w:r>
        <w:t>The listing application must be accompanied by the non-refundable deposit of the initial listing fee payable which is HK$20,000.</w:t>
      </w:r>
    </w:p>
    <w:p w:rsidR="001D5833" w:rsidRDefault="001D5833" w:rsidP="001D5833">
      <w:pPr>
        <w:snapToGrid w:val="0"/>
        <w:spacing w:after="0" w:line="240" w:lineRule="auto"/>
        <w:jc w:val="both"/>
      </w:pPr>
    </w:p>
    <w:p w:rsidR="001D5833" w:rsidRDefault="001D5833" w:rsidP="001D5833">
      <w:pPr>
        <w:snapToGrid w:val="0"/>
        <w:spacing w:after="0" w:line="240" w:lineRule="auto"/>
        <w:jc w:val="both"/>
      </w:pPr>
      <w:r>
        <w:t>The formal application must only be made after the SFC has confirmed that it has no further comments on the offer documents or such other product description documents required by the Code (“</w:t>
      </w:r>
      <w:r w:rsidRPr="00C60369">
        <w:rPr>
          <w:b/>
        </w:rPr>
        <w:t>CIS Disclosure Document</w:t>
      </w:r>
      <w:r>
        <w:t xml:space="preserve">”). </w:t>
      </w:r>
    </w:p>
    <w:p w:rsidR="001D5833" w:rsidRDefault="001D5833" w:rsidP="001D5833">
      <w:pPr>
        <w:snapToGrid w:val="0"/>
        <w:spacing w:after="0" w:line="240" w:lineRule="auto"/>
        <w:jc w:val="both"/>
      </w:pPr>
    </w:p>
    <w:p w:rsidR="001D5833" w:rsidRDefault="001D5833" w:rsidP="001D5833">
      <w:pPr>
        <w:snapToGrid w:val="0"/>
        <w:spacing w:after="0" w:line="240" w:lineRule="auto"/>
        <w:jc w:val="both"/>
        <w:rPr>
          <w:u w:val="single"/>
        </w:rPr>
      </w:pPr>
      <w:r>
        <w:rPr>
          <w:u w:val="single"/>
        </w:rPr>
        <w:t>Requirements</w:t>
      </w:r>
    </w:p>
    <w:p w:rsidR="001D5833" w:rsidRDefault="001D5833" w:rsidP="001D5833">
      <w:pPr>
        <w:snapToGrid w:val="0"/>
        <w:spacing w:after="0" w:line="240" w:lineRule="auto"/>
        <w:jc w:val="both"/>
        <w:rPr>
          <w:u w:val="single"/>
        </w:rPr>
      </w:pPr>
    </w:p>
    <w:p w:rsidR="001D5833" w:rsidRDefault="001D5833" w:rsidP="001D5833">
      <w:pPr>
        <w:numPr>
          <w:ilvl w:val="0"/>
          <w:numId w:val="7"/>
        </w:numPr>
        <w:snapToGrid w:val="0"/>
        <w:spacing w:after="0" w:line="240" w:lineRule="auto"/>
        <w:jc w:val="both"/>
      </w:pPr>
      <w:r>
        <w:rPr>
          <w:b/>
        </w:rPr>
        <w:t>agent</w:t>
      </w:r>
      <w:r>
        <w:t>: an agent with sufficient experience must be appointed to communicate with the HKSE in connection with the listing application and to manage the overall listing process (ensuring that it be carried out in a timely and orderly manner);</w:t>
      </w:r>
    </w:p>
    <w:p w:rsidR="001D5833" w:rsidRPr="00371E57" w:rsidRDefault="001D5833" w:rsidP="001D5833">
      <w:pPr>
        <w:snapToGrid w:val="0"/>
        <w:spacing w:after="0" w:line="240" w:lineRule="auto"/>
        <w:ind w:left="720"/>
        <w:jc w:val="both"/>
      </w:pPr>
    </w:p>
    <w:p w:rsidR="001D5833" w:rsidRDefault="001D5833" w:rsidP="001D5833">
      <w:pPr>
        <w:numPr>
          <w:ilvl w:val="0"/>
          <w:numId w:val="7"/>
        </w:numPr>
        <w:snapToGrid w:val="0"/>
        <w:spacing w:after="0" w:line="240" w:lineRule="auto"/>
        <w:jc w:val="both"/>
      </w:pPr>
      <w:r w:rsidRPr="002B10D0">
        <w:rPr>
          <w:b/>
        </w:rPr>
        <w:t>eligible securities</w:t>
      </w:r>
      <w:r>
        <w:t>: the product/securities for which listing is sought must be accepted as eligible by the Hong Kong Securities Clearing Company Limited (HKSCC) for deposit, clearance and settlement in the Central Clearing and Settlement System (CCASS) from the date on which dealings commence;</w:t>
      </w:r>
    </w:p>
    <w:p w:rsidR="001D5833" w:rsidRDefault="001D5833" w:rsidP="001D5833">
      <w:pPr>
        <w:snapToGrid w:val="0"/>
        <w:spacing w:after="0" w:line="240" w:lineRule="auto"/>
        <w:ind w:left="720"/>
        <w:jc w:val="both"/>
      </w:pPr>
    </w:p>
    <w:p w:rsidR="001D5833" w:rsidRDefault="001D5833" w:rsidP="001D5833">
      <w:pPr>
        <w:numPr>
          <w:ilvl w:val="0"/>
          <w:numId w:val="7"/>
        </w:numPr>
        <w:snapToGrid w:val="0"/>
        <w:spacing w:after="0" w:line="240" w:lineRule="auto"/>
        <w:jc w:val="both"/>
      </w:pPr>
      <w:r w:rsidRPr="00E55E41">
        <w:t>listing document</w:t>
      </w:r>
      <w:r>
        <w:t>: specified requirements in LR20.18 (see below);</w:t>
      </w:r>
    </w:p>
    <w:p w:rsidR="001D5833" w:rsidRDefault="001D5833" w:rsidP="001D5833">
      <w:pPr>
        <w:snapToGrid w:val="0"/>
        <w:spacing w:after="0" w:line="240" w:lineRule="auto"/>
        <w:ind w:left="720"/>
        <w:jc w:val="both"/>
      </w:pPr>
    </w:p>
    <w:p w:rsidR="001D5833" w:rsidRDefault="001D5833" w:rsidP="001D5833">
      <w:pPr>
        <w:numPr>
          <w:ilvl w:val="0"/>
          <w:numId w:val="7"/>
        </w:numPr>
        <w:snapToGrid w:val="0"/>
        <w:spacing w:after="0" w:line="240" w:lineRule="auto"/>
        <w:jc w:val="both"/>
      </w:pPr>
      <w:r w:rsidRPr="00E55E41">
        <w:t>documentary requirements</w:t>
      </w:r>
      <w:r w:rsidRPr="002B10D0">
        <w:t>: see below</w:t>
      </w:r>
      <w:r>
        <w:t>;</w:t>
      </w:r>
    </w:p>
    <w:p w:rsidR="001D5833" w:rsidRDefault="001D5833" w:rsidP="001D5833">
      <w:pPr>
        <w:snapToGrid w:val="0"/>
        <w:spacing w:after="0" w:line="240" w:lineRule="auto"/>
        <w:ind w:left="720"/>
        <w:jc w:val="both"/>
      </w:pPr>
    </w:p>
    <w:p w:rsidR="001D5833" w:rsidRDefault="001D5833" w:rsidP="001D5833">
      <w:pPr>
        <w:numPr>
          <w:ilvl w:val="0"/>
          <w:numId w:val="7"/>
        </w:numPr>
        <w:snapToGrid w:val="0"/>
        <w:spacing w:after="0" w:line="240" w:lineRule="auto"/>
        <w:jc w:val="both"/>
      </w:pPr>
      <w:proofErr w:type="gramStart"/>
      <w:r w:rsidRPr="00E55E41">
        <w:t>listing</w:t>
      </w:r>
      <w:proofErr w:type="gramEnd"/>
      <w:r w:rsidRPr="00E55E41">
        <w:t xml:space="preserve"> agreement</w:t>
      </w:r>
      <w:r>
        <w:t>: in connection with compliance with continuing obligations (see below).</w:t>
      </w:r>
    </w:p>
    <w:p w:rsidR="001D5833" w:rsidRDefault="001D5833" w:rsidP="001D5833">
      <w:pPr>
        <w:snapToGrid w:val="0"/>
        <w:spacing w:after="0" w:line="240" w:lineRule="auto"/>
        <w:ind w:left="720"/>
        <w:jc w:val="both"/>
      </w:pPr>
    </w:p>
    <w:p w:rsidR="001D5833" w:rsidRPr="002B10D0" w:rsidRDefault="001D5833" w:rsidP="001D5833">
      <w:pPr>
        <w:pStyle w:val="ListParagraph"/>
        <w:snapToGrid w:val="0"/>
        <w:spacing w:after="0" w:line="240" w:lineRule="auto"/>
        <w:ind w:left="0"/>
        <w:contextualSpacing w:val="0"/>
        <w:jc w:val="both"/>
        <w:rPr>
          <w:u w:val="single"/>
        </w:rPr>
      </w:pPr>
      <w:r w:rsidRPr="002B10D0">
        <w:rPr>
          <w:u w:val="single"/>
        </w:rPr>
        <w:t>Documentary requirements</w:t>
      </w:r>
    </w:p>
    <w:p w:rsidR="001D5833" w:rsidRPr="002B10D0" w:rsidRDefault="001D5833" w:rsidP="001D5833">
      <w:pPr>
        <w:pStyle w:val="ListParagraph"/>
        <w:snapToGrid w:val="0"/>
        <w:spacing w:after="0" w:line="240" w:lineRule="auto"/>
        <w:ind w:left="0"/>
        <w:contextualSpacing w:val="0"/>
        <w:jc w:val="both"/>
        <w:rPr>
          <w:b/>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088"/>
      </w:tblGrid>
      <w:tr w:rsidR="001D5833" w:rsidRPr="004754D3" w:rsidTr="006306A6">
        <w:trPr>
          <w:tblHeader/>
        </w:trPr>
        <w:tc>
          <w:tcPr>
            <w:tcW w:w="2268" w:type="dxa"/>
            <w:tcBorders>
              <w:bottom w:val="single" w:sz="4" w:space="0" w:color="auto"/>
            </w:tcBorders>
            <w:shd w:val="pct12" w:color="000000" w:fill="FFFFFF"/>
          </w:tcPr>
          <w:p w:rsidR="001D5833" w:rsidRDefault="001D5833" w:rsidP="006306A6">
            <w:pPr>
              <w:pStyle w:val="Heading2"/>
              <w:snapToGrid w:val="0"/>
              <w:jc w:val="both"/>
              <w:rPr>
                <w:sz w:val="22"/>
              </w:rPr>
            </w:pPr>
            <w:bookmarkStart w:id="5" w:name="_Toc476841094"/>
            <w:bookmarkStart w:id="6" w:name="_Toc476841231"/>
            <w:r>
              <w:rPr>
                <w:sz w:val="22"/>
              </w:rPr>
              <w:t>Time</w:t>
            </w:r>
            <w:bookmarkEnd w:id="5"/>
            <w:bookmarkEnd w:id="6"/>
          </w:p>
        </w:tc>
        <w:tc>
          <w:tcPr>
            <w:tcW w:w="7088" w:type="dxa"/>
            <w:tcBorders>
              <w:bottom w:val="single" w:sz="4" w:space="0" w:color="auto"/>
            </w:tcBorders>
            <w:shd w:val="pct12" w:color="000000" w:fill="FFFFFF"/>
          </w:tcPr>
          <w:p w:rsidR="001D5833" w:rsidRDefault="001D5833" w:rsidP="006306A6">
            <w:pPr>
              <w:pStyle w:val="Heading2"/>
              <w:snapToGrid w:val="0"/>
              <w:jc w:val="both"/>
              <w:rPr>
                <w:sz w:val="22"/>
              </w:rPr>
            </w:pPr>
            <w:bookmarkStart w:id="7" w:name="_Toc476841095"/>
            <w:bookmarkStart w:id="8" w:name="_Toc476841232"/>
            <w:r>
              <w:rPr>
                <w:sz w:val="22"/>
              </w:rPr>
              <w:t>Documents Required</w:t>
            </w:r>
            <w:bookmarkEnd w:id="7"/>
            <w:bookmarkEnd w:id="8"/>
          </w:p>
        </w:tc>
      </w:tr>
      <w:tr w:rsidR="001D5833" w:rsidRPr="004754D3" w:rsidTr="006306A6">
        <w:tc>
          <w:tcPr>
            <w:tcW w:w="2268" w:type="dxa"/>
            <w:shd w:val="clear" w:color="000000" w:fill="FFFFFF"/>
          </w:tcPr>
          <w:p w:rsidR="001D5833" w:rsidRPr="002B10D0" w:rsidRDefault="001D5833" w:rsidP="006306A6">
            <w:pPr>
              <w:snapToGrid w:val="0"/>
              <w:spacing w:after="0" w:line="240" w:lineRule="auto"/>
              <w:rPr>
                <w:sz w:val="21"/>
                <w:szCs w:val="21"/>
              </w:rPr>
            </w:pPr>
            <w:r>
              <w:rPr>
                <w:sz w:val="21"/>
                <w:szCs w:val="21"/>
              </w:rPr>
              <w:t>A</w:t>
            </w:r>
            <w:r w:rsidRPr="002B10D0">
              <w:rPr>
                <w:sz w:val="21"/>
                <w:szCs w:val="21"/>
              </w:rPr>
              <w:t>t the ti</w:t>
            </w:r>
            <w:r>
              <w:rPr>
                <w:sz w:val="21"/>
                <w:szCs w:val="21"/>
              </w:rPr>
              <w:t xml:space="preserve">me of </w:t>
            </w:r>
            <w:r w:rsidRPr="00C60369">
              <w:rPr>
                <w:b/>
                <w:sz w:val="21"/>
                <w:szCs w:val="21"/>
              </w:rPr>
              <w:t xml:space="preserve">submission </w:t>
            </w:r>
            <w:r>
              <w:rPr>
                <w:sz w:val="21"/>
                <w:szCs w:val="21"/>
              </w:rPr>
              <w:t>of the listing application (Form A2)</w:t>
            </w:r>
          </w:p>
          <w:p w:rsidR="001D5833" w:rsidRPr="002B10D0" w:rsidRDefault="001D5833" w:rsidP="006306A6">
            <w:pPr>
              <w:pStyle w:val="Heading2"/>
              <w:snapToGrid w:val="0"/>
              <w:rPr>
                <w:sz w:val="21"/>
                <w:szCs w:val="21"/>
                <w:lang w:val="en-GB"/>
              </w:rPr>
            </w:pPr>
          </w:p>
        </w:tc>
        <w:tc>
          <w:tcPr>
            <w:tcW w:w="7088" w:type="dxa"/>
            <w:shd w:val="clear" w:color="000000" w:fill="FFFFFF"/>
          </w:tcPr>
          <w:p w:rsidR="001D5833" w:rsidRDefault="001D5833" w:rsidP="001D5833">
            <w:pPr>
              <w:pStyle w:val="ListParagraph"/>
              <w:numPr>
                <w:ilvl w:val="0"/>
                <w:numId w:val="8"/>
              </w:numPr>
              <w:snapToGrid w:val="0"/>
              <w:spacing w:after="0" w:line="240" w:lineRule="auto"/>
              <w:ind w:left="459" w:hanging="284"/>
              <w:contextualSpacing w:val="0"/>
              <w:jc w:val="both"/>
              <w:rPr>
                <w:sz w:val="21"/>
                <w:szCs w:val="21"/>
              </w:rPr>
            </w:pPr>
            <w:r>
              <w:rPr>
                <w:rFonts w:hint="eastAsia"/>
                <w:sz w:val="21"/>
                <w:szCs w:val="21"/>
              </w:rPr>
              <w:t>Form A2;</w:t>
            </w:r>
          </w:p>
          <w:p w:rsidR="001D5833" w:rsidRDefault="001D5833" w:rsidP="001D5833">
            <w:pPr>
              <w:pStyle w:val="ListParagraph"/>
              <w:numPr>
                <w:ilvl w:val="0"/>
                <w:numId w:val="8"/>
              </w:numPr>
              <w:snapToGrid w:val="0"/>
              <w:spacing w:after="0" w:line="240" w:lineRule="auto"/>
              <w:ind w:left="459" w:hanging="284"/>
              <w:contextualSpacing w:val="0"/>
              <w:jc w:val="both"/>
              <w:rPr>
                <w:sz w:val="21"/>
                <w:szCs w:val="21"/>
              </w:rPr>
            </w:pPr>
            <w:r>
              <w:rPr>
                <w:rFonts w:hint="eastAsia"/>
                <w:sz w:val="21"/>
                <w:szCs w:val="21"/>
              </w:rPr>
              <w:t xml:space="preserve">five copies of the </w:t>
            </w:r>
            <w:r w:rsidRPr="00A25650">
              <w:rPr>
                <w:sz w:val="21"/>
                <w:szCs w:val="21"/>
              </w:rPr>
              <w:t xml:space="preserve">advanced proof of the listing document containing the CIS Disclosure Document </w:t>
            </w:r>
            <w:r>
              <w:rPr>
                <w:rFonts w:hint="eastAsia"/>
                <w:sz w:val="21"/>
                <w:szCs w:val="21"/>
              </w:rPr>
              <w:t>and a CD-ROM ;</w:t>
            </w:r>
          </w:p>
          <w:p w:rsidR="001D5833" w:rsidRDefault="001D5833" w:rsidP="001D5833">
            <w:pPr>
              <w:pStyle w:val="ListParagraph"/>
              <w:numPr>
                <w:ilvl w:val="0"/>
                <w:numId w:val="8"/>
              </w:numPr>
              <w:snapToGrid w:val="0"/>
              <w:spacing w:after="0" w:line="240" w:lineRule="auto"/>
              <w:ind w:left="459" w:hanging="284"/>
              <w:contextualSpacing w:val="0"/>
              <w:jc w:val="both"/>
              <w:rPr>
                <w:sz w:val="21"/>
                <w:szCs w:val="21"/>
              </w:rPr>
            </w:pPr>
            <w:r>
              <w:rPr>
                <w:rFonts w:hint="eastAsia"/>
                <w:sz w:val="21"/>
                <w:szCs w:val="21"/>
              </w:rPr>
              <w:t xml:space="preserve">a copy of the </w:t>
            </w:r>
            <w:r w:rsidRPr="00A25650">
              <w:rPr>
                <w:sz w:val="21"/>
                <w:szCs w:val="21"/>
              </w:rPr>
              <w:t xml:space="preserve"> confirmation from the SFC that </w:t>
            </w:r>
            <w:r>
              <w:rPr>
                <w:sz w:val="21"/>
                <w:szCs w:val="21"/>
              </w:rPr>
              <w:t xml:space="preserve">it has </w:t>
            </w:r>
            <w:r w:rsidRPr="00A25650">
              <w:rPr>
                <w:sz w:val="21"/>
                <w:szCs w:val="21"/>
              </w:rPr>
              <w:t>no further comments on the CIS Disclosure Document;</w:t>
            </w:r>
          </w:p>
          <w:p w:rsidR="001D5833" w:rsidRDefault="001D5833" w:rsidP="001D5833">
            <w:pPr>
              <w:pStyle w:val="ListParagraph"/>
              <w:numPr>
                <w:ilvl w:val="0"/>
                <w:numId w:val="8"/>
              </w:numPr>
              <w:snapToGrid w:val="0"/>
              <w:spacing w:after="0" w:line="240" w:lineRule="auto"/>
              <w:ind w:left="459" w:hanging="284"/>
              <w:contextualSpacing w:val="0"/>
              <w:jc w:val="both"/>
              <w:rPr>
                <w:sz w:val="21"/>
                <w:szCs w:val="21"/>
              </w:rPr>
            </w:pPr>
            <w:r>
              <w:rPr>
                <w:rFonts w:hint="eastAsia"/>
                <w:sz w:val="21"/>
                <w:szCs w:val="21"/>
              </w:rPr>
              <w:t>the Listing Agreement duly sig</w:t>
            </w:r>
            <w:r>
              <w:rPr>
                <w:sz w:val="21"/>
                <w:szCs w:val="21"/>
              </w:rPr>
              <w:t>n</w:t>
            </w:r>
            <w:r>
              <w:rPr>
                <w:rFonts w:hint="eastAsia"/>
                <w:sz w:val="21"/>
                <w:szCs w:val="21"/>
              </w:rPr>
              <w:t>ed</w:t>
            </w:r>
            <w:r>
              <w:rPr>
                <w:sz w:val="21"/>
                <w:szCs w:val="21"/>
              </w:rPr>
              <w:t>,</w:t>
            </w:r>
            <w:r>
              <w:rPr>
                <w:rFonts w:hint="eastAsia"/>
                <w:sz w:val="21"/>
                <w:szCs w:val="21"/>
              </w:rPr>
              <w:t xml:space="preserve"> for and on behalf of the CIS, the CIS Operator, and the custodian or the trustee or its functional equivalent;</w:t>
            </w:r>
          </w:p>
          <w:p w:rsidR="001D5833" w:rsidRDefault="001D5833" w:rsidP="001D5833">
            <w:pPr>
              <w:pStyle w:val="ListParagraph"/>
              <w:numPr>
                <w:ilvl w:val="0"/>
                <w:numId w:val="8"/>
              </w:numPr>
              <w:snapToGrid w:val="0"/>
              <w:spacing w:after="0" w:line="240" w:lineRule="auto"/>
              <w:ind w:left="459" w:hanging="284"/>
              <w:contextualSpacing w:val="0"/>
              <w:jc w:val="both"/>
              <w:rPr>
                <w:sz w:val="21"/>
                <w:szCs w:val="21"/>
              </w:rPr>
            </w:pPr>
            <w:r>
              <w:rPr>
                <w:rFonts w:hint="eastAsia"/>
                <w:sz w:val="21"/>
                <w:szCs w:val="21"/>
              </w:rPr>
              <w:t xml:space="preserve">where available, a certified copy of board resolutions </w:t>
            </w:r>
            <w:r>
              <w:rPr>
                <w:sz w:val="21"/>
                <w:szCs w:val="21"/>
              </w:rPr>
              <w:t>(or their equivalent) of the CIS and the CIS Operator and the custodian or trustee authorising and approving</w:t>
            </w:r>
            <w:r>
              <w:rPr>
                <w:rFonts w:hint="eastAsia"/>
                <w:sz w:val="21"/>
                <w:szCs w:val="21"/>
              </w:rPr>
              <w:t xml:space="preserve"> the </w:t>
            </w:r>
            <w:r>
              <w:rPr>
                <w:sz w:val="21"/>
                <w:szCs w:val="21"/>
              </w:rPr>
              <w:t>submission</w:t>
            </w:r>
            <w:r>
              <w:rPr>
                <w:rFonts w:hint="eastAsia"/>
                <w:sz w:val="21"/>
                <w:szCs w:val="21"/>
              </w:rPr>
              <w:t xml:space="preserve"> of Form A2, </w:t>
            </w:r>
            <w:r>
              <w:rPr>
                <w:sz w:val="21"/>
                <w:szCs w:val="21"/>
              </w:rPr>
              <w:t xml:space="preserve">the issue of the </w:t>
            </w:r>
            <w:r>
              <w:rPr>
                <w:rFonts w:hint="eastAsia"/>
                <w:sz w:val="21"/>
                <w:szCs w:val="21"/>
              </w:rPr>
              <w:t xml:space="preserve">listing document and </w:t>
            </w:r>
            <w:r>
              <w:rPr>
                <w:sz w:val="21"/>
                <w:szCs w:val="21"/>
              </w:rPr>
              <w:t xml:space="preserve">execution of </w:t>
            </w:r>
            <w:r>
              <w:rPr>
                <w:rFonts w:hint="eastAsia"/>
                <w:sz w:val="21"/>
                <w:szCs w:val="21"/>
              </w:rPr>
              <w:t>the Listing Agreement;</w:t>
            </w:r>
          </w:p>
          <w:p w:rsidR="001D5833" w:rsidRDefault="001D5833" w:rsidP="001D5833">
            <w:pPr>
              <w:pStyle w:val="ListParagraph"/>
              <w:numPr>
                <w:ilvl w:val="0"/>
                <w:numId w:val="8"/>
              </w:numPr>
              <w:snapToGrid w:val="0"/>
              <w:spacing w:after="0" w:line="240" w:lineRule="auto"/>
              <w:ind w:left="459" w:hanging="284"/>
              <w:contextualSpacing w:val="0"/>
              <w:jc w:val="both"/>
              <w:rPr>
                <w:sz w:val="21"/>
                <w:szCs w:val="21"/>
              </w:rPr>
            </w:pPr>
            <w:r>
              <w:rPr>
                <w:rFonts w:hint="eastAsia"/>
                <w:sz w:val="21"/>
                <w:szCs w:val="21"/>
              </w:rPr>
              <w:t xml:space="preserve">a final copy of any </w:t>
            </w:r>
            <w:r>
              <w:rPr>
                <w:sz w:val="21"/>
                <w:szCs w:val="21"/>
              </w:rPr>
              <w:t>application</w:t>
            </w:r>
            <w:r>
              <w:rPr>
                <w:rFonts w:hint="eastAsia"/>
                <w:sz w:val="21"/>
                <w:szCs w:val="21"/>
              </w:rPr>
              <w:t xml:space="preserve"> form for </w:t>
            </w:r>
            <w:r>
              <w:rPr>
                <w:sz w:val="21"/>
                <w:szCs w:val="21"/>
              </w:rPr>
              <w:t>the</w:t>
            </w:r>
            <w:r>
              <w:rPr>
                <w:rFonts w:hint="eastAsia"/>
                <w:sz w:val="21"/>
                <w:szCs w:val="21"/>
              </w:rPr>
              <w:t xml:space="preserve"> subscription </w:t>
            </w:r>
            <w:r>
              <w:rPr>
                <w:sz w:val="21"/>
                <w:szCs w:val="21"/>
              </w:rPr>
              <w:t xml:space="preserve">or purchase </w:t>
            </w:r>
            <w:r>
              <w:rPr>
                <w:rFonts w:hint="eastAsia"/>
                <w:sz w:val="21"/>
                <w:szCs w:val="21"/>
              </w:rPr>
              <w:t>of CIS interests; and</w:t>
            </w:r>
          </w:p>
          <w:p w:rsidR="001D5833" w:rsidRPr="00A25650" w:rsidRDefault="001D5833" w:rsidP="001D5833">
            <w:pPr>
              <w:pStyle w:val="ListParagraph"/>
              <w:numPr>
                <w:ilvl w:val="0"/>
                <w:numId w:val="8"/>
              </w:numPr>
              <w:snapToGrid w:val="0"/>
              <w:spacing w:after="0" w:line="240" w:lineRule="auto"/>
              <w:ind w:left="459" w:hanging="284"/>
              <w:contextualSpacing w:val="0"/>
              <w:jc w:val="both"/>
              <w:rPr>
                <w:sz w:val="21"/>
                <w:szCs w:val="21"/>
              </w:rPr>
            </w:pPr>
            <w:proofErr w:type="gramStart"/>
            <w:r>
              <w:rPr>
                <w:rFonts w:hint="eastAsia"/>
                <w:sz w:val="21"/>
                <w:szCs w:val="21"/>
              </w:rPr>
              <w:t>a</w:t>
            </w:r>
            <w:proofErr w:type="gramEnd"/>
            <w:r>
              <w:rPr>
                <w:rFonts w:hint="eastAsia"/>
                <w:sz w:val="21"/>
                <w:szCs w:val="21"/>
              </w:rPr>
              <w:t xml:space="preserve"> copy of the most recent annual report and accounts of the CIS (unless </w:t>
            </w:r>
            <w:r>
              <w:rPr>
                <w:sz w:val="21"/>
                <w:szCs w:val="21"/>
              </w:rPr>
              <w:t xml:space="preserve">the </w:t>
            </w:r>
            <w:r>
              <w:rPr>
                <w:rFonts w:hint="eastAsia"/>
                <w:sz w:val="21"/>
                <w:szCs w:val="21"/>
              </w:rPr>
              <w:t xml:space="preserve">CIS is newly formed), the CIS Operator, trustee or custodian or its functional equivalent, and (if </w:t>
            </w:r>
            <w:r>
              <w:rPr>
                <w:sz w:val="21"/>
                <w:szCs w:val="21"/>
              </w:rPr>
              <w:t>applicable</w:t>
            </w:r>
            <w:r>
              <w:rPr>
                <w:rFonts w:hint="eastAsia"/>
                <w:sz w:val="21"/>
                <w:szCs w:val="21"/>
              </w:rPr>
              <w:t>) the investment adviser to the CIS</w:t>
            </w:r>
            <w:r>
              <w:rPr>
                <w:sz w:val="21"/>
                <w:szCs w:val="21"/>
              </w:rPr>
              <w:t>.</w:t>
            </w:r>
          </w:p>
          <w:p w:rsidR="001D5833" w:rsidRPr="00A25650" w:rsidRDefault="001D5833" w:rsidP="006306A6">
            <w:pPr>
              <w:pStyle w:val="ListParagraph"/>
              <w:snapToGrid w:val="0"/>
              <w:spacing w:after="0" w:line="240" w:lineRule="auto"/>
              <w:ind w:left="459"/>
              <w:contextualSpacing w:val="0"/>
              <w:jc w:val="both"/>
              <w:rPr>
                <w:sz w:val="21"/>
                <w:szCs w:val="21"/>
              </w:rPr>
            </w:pPr>
          </w:p>
        </w:tc>
      </w:tr>
      <w:tr w:rsidR="001D5833" w:rsidRPr="004754D3" w:rsidTr="006306A6">
        <w:tc>
          <w:tcPr>
            <w:tcW w:w="2268" w:type="dxa"/>
            <w:shd w:val="clear" w:color="000000" w:fill="FFFFFF"/>
          </w:tcPr>
          <w:p w:rsidR="001D5833" w:rsidRDefault="001D5833" w:rsidP="006306A6">
            <w:pPr>
              <w:snapToGrid w:val="0"/>
              <w:spacing w:after="0" w:line="240" w:lineRule="auto"/>
              <w:rPr>
                <w:sz w:val="21"/>
                <w:szCs w:val="21"/>
              </w:rPr>
            </w:pPr>
            <w:r>
              <w:rPr>
                <w:rFonts w:hint="eastAsia"/>
                <w:sz w:val="21"/>
                <w:szCs w:val="21"/>
              </w:rPr>
              <w:t xml:space="preserve">(for </w:t>
            </w:r>
            <w:r>
              <w:rPr>
                <w:sz w:val="21"/>
                <w:szCs w:val="21"/>
              </w:rPr>
              <w:t xml:space="preserve">a </w:t>
            </w:r>
            <w:r>
              <w:rPr>
                <w:rFonts w:hint="eastAsia"/>
                <w:sz w:val="21"/>
                <w:szCs w:val="21"/>
              </w:rPr>
              <w:t>listed CIS issuer, other than an open-ended CIS)</w:t>
            </w:r>
          </w:p>
          <w:p w:rsidR="001D5833" w:rsidRPr="002B10D0" w:rsidRDefault="001D5833" w:rsidP="006306A6">
            <w:pPr>
              <w:snapToGrid w:val="0"/>
              <w:spacing w:after="0" w:line="240" w:lineRule="auto"/>
              <w:rPr>
                <w:sz w:val="21"/>
                <w:szCs w:val="21"/>
              </w:rPr>
            </w:pPr>
            <w:r>
              <w:rPr>
                <w:sz w:val="21"/>
                <w:szCs w:val="21"/>
              </w:rPr>
              <w:t>a</w:t>
            </w:r>
            <w:r w:rsidRPr="002B10D0">
              <w:rPr>
                <w:sz w:val="21"/>
                <w:szCs w:val="21"/>
              </w:rPr>
              <w:t xml:space="preserve">t least </w:t>
            </w:r>
            <w:r w:rsidRPr="00C60369">
              <w:rPr>
                <w:b/>
                <w:sz w:val="21"/>
                <w:szCs w:val="21"/>
              </w:rPr>
              <w:t xml:space="preserve">five </w:t>
            </w:r>
            <w:r w:rsidRPr="002B10D0">
              <w:rPr>
                <w:sz w:val="21"/>
                <w:szCs w:val="21"/>
              </w:rPr>
              <w:t xml:space="preserve">clear business days prior to the date on which it is expected that the </w:t>
            </w:r>
            <w:r>
              <w:rPr>
                <w:sz w:val="21"/>
                <w:szCs w:val="21"/>
              </w:rPr>
              <w:t>HKSE</w:t>
            </w:r>
            <w:r w:rsidRPr="002B10D0">
              <w:rPr>
                <w:sz w:val="21"/>
                <w:szCs w:val="21"/>
              </w:rPr>
              <w:t xml:space="preserve"> will consider a</w:t>
            </w:r>
            <w:r>
              <w:rPr>
                <w:sz w:val="21"/>
                <w:szCs w:val="21"/>
              </w:rPr>
              <w:t>pproving the listing of the CIS</w:t>
            </w:r>
          </w:p>
          <w:p w:rsidR="001D5833" w:rsidRPr="002B10D0" w:rsidRDefault="001D5833" w:rsidP="006306A6">
            <w:pPr>
              <w:pStyle w:val="Heading2"/>
              <w:snapToGrid w:val="0"/>
              <w:rPr>
                <w:sz w:val="21"/>
                <w:szCs w:val="21"/>
                <w:lang w:val="en-GB"/>
              </w:rPr>
            </w:pPr>
          </w:p>
        </w:tc>
        <w:tc>
          <w:tcPr>
            <w:tcW w:w="7088" w:type="dxa"/>
            <w:shd w:val="clear" w:color="000000" w:fill="FFFFFF"/>
          </w:tcPr>
          <w:p w:rsidR="001D5833" w:rsidRDefault="001D5833" w:rsidP="001D5833">
            <w:pPr>
              <w:pStyle w:val="ListParagraph"/>
              <w:numPr>
                <w:ilvl w:val="0"/>
                <w:numId w:val="8"/>
              </w:numPr>
              <w:snapToGrid w:val="0"/>
              <w:spacing w:after="0" w:line="240" w:lineRule="auto"/>
              <w:ind w:left="459" w:hanging="284"/>
              <w:contextualSpacing w:val="0"/>
              <w:jc w:val="both"/>
              <w:rPr>
                <w:sz w:val="21"/>
                <w:szCs w:val="21"/>
              </w:rPr>
            </w:pPr>
            <w:r>
              <w:rPr>
                <w:sz w:val="21"/>
                <w:szCs w:val="21"/>
              </w:rPr>
              <w:t xml:space="preserve">a </w:t>
            </w:r>
            <w:r w:rsidRPr="00A25650">
              <w:rPr>
                <w:sz w:val="21"/>
                <w:szCs w:val="21"/>
              </w:rPr>
              <w:t xml:space="preserve">formal application for listing in the form set out in Form C3 in Appendix 5 </w:t>
            </w:r>
            <w:r>
              <w:rPr>
                <w:sz w:val="21"/>
                <w:szCs w:val="21"/>
              </w:rPr>
              <w:t>t</w:t>
            </w:r>
            <w:r w:rsidRPr="00A25650">
              <w:rPr>
                <w:sz w:val="21"/>
                <w:szCs w:val="21"/>
              </w:rPr>
              <w:t>o the Listing Rules, signed for and on behalf of the CIS</w:t>
            </w:r>
            <w:r>
              <w:rPr>
                <w:rFonts w:hint="eastAsia"/>
                <w:sz w:val="21"/>
                <w:szCs w:val="21"/>
              </w:rPr>
              <w:t xml:space="preserve"> </w:t>
            </w:r>
            <w:r>
              <w:rPr>
                <w:sz w:val="21"/>
                <w:szCs w:val="21"/>
              </w:rPr>
              <w:t>and</w:t>
            </w:r>
            <w:r>
              <w:rPr>
                <w:rFonts w:hint="eastAsia"/>
                <w:sz w:val="21"/>
                <w:szCs w:val="21"/>
              </w:rPr>
              <w:t xml:space="preserve"> the CIS Operator</w:t>
            </w:r>
            <w:r w:rsidRPr="00A25650">
              <w:rPr>
                <w:sz w:val="21"/>
                <w:szCs w:val="21"/>
              </w:rPr>
              <w:t>;</w:t>
            </w:r>
            <w:r>
              <w:rPr>
                <w:rFonts w:hint="eastAsia"/>
                <w:sz w:val="21"/>
                <w:szCs w:val="21"/>
              </w:rPr>
              <w:t xml:space="preserve"> and</w:t>
            </w:r>
          </w:p>
          <w:p w:rsidR="001D5833" w:rsidRPr="00A25650" w:rsidRDefault="001D5833" w:rsidP="006306A6">
            <w:pPr>
              <w:pStyle w:val="ListParagraph"/>
              <w:snapToGrid w:val="0"/>
              <w:spacing w:after="0" w:line="240" w:lineRule="auto"/>
              <w:ind w:left="459"/>
              <w:contextualSpacing w:val="0"/>
              <w:jc w:val="both"/>
              <w:rPr>
                <w:sz w:val="21"/>
                <w:szCs w:val="21"/>
              </w:rPr>
            </w:pPr>
          </w:p>
          <w:p w:rsidR="001D5833" w:rsidRPr="00A25650" w:rsidRDefault="001D5833" w:rsidP="001D5833">
            <w:pPr>
              <w:pStyle w:val="ListParagraph"/>
              <w:numPr>
                <w:ilvl w:val="0"/>
                <w:numId w:val="8"/>
              </w:numPr>
              <w:snapToGrid w:val="0"/>
              <w:spacing w:after="0" w:line="240" w:lineRule="auto"/>
              <w:ind w:left="459" w:hanging="284"/>
              <w:contextualSpacing w:val="0"/>
              <w:jc w:val="both"/>
              <w:rPr>
                <w:sz w:val="21"/>
                <w:szCs w:val="21"/>
              </w:rPr>
            </w:pPr>
            <w:r>
              <w:rPr>
                <w:sz w:val="21"/>
                <w:szCs w:val="21"/>
              </w:rPr>
              <w:t xml:space="preserve">a </w:t>
            </w:r>
            <w:r w:rsidRPr="00A25650">
              <w:rPr>
                <w:sz w:val="21"/>
                <w:szCs w:val="21"/>
              </w:rPr>
              <w:t xml:space="preserve">certified copy of the board resolutions </w:t>
            </w:r>
            <w:r>
              <w:rPr>
                <w:sz w:val="21"/>
                <w:szCs w:val="21"/>
              </w:rPr>
              <w:t xml:space="preserve">(or equivalent) of the CIS and CIS Operator </w:t>
            </w:r>
            <w:r w:rsidRPr="00A25650">
              <w:rPr>
                <w:sz w:val="21"/>
                <w:szCs w:val="21"/>
              </w:rPr>
              <w:t xml:space="preserve">authorising the making of the application for listing in the form set out in Form C3 in Appendix 5 </w:t>
            </w:r>
            <w:r>
              <w:rPr>
                <w:sz w:val="21"/>
                <w:szCs w:val="21"/>
              </w:rPr>
              <w:t>t</w:t>
            </w:r>
            <w:r w:rsidRPr="00A25650">
              <w:rPr>
                <w:sz w:val="21"/>
                <w:szCs w:val="21"/>
              </w:rPr>
              <w:t>o the Listing Rules</w:t>
            </w:r>
            <w:r>
              <w:rPr>
                <w:sz w:val="21"/>
                <w:szCs w:val="21"/>
              </w:rPr>
              <w:t>.</w:t>
            </w:r>
          </w:p>
          <w:p w:rsidR="001D5833" w:rsidRPr="00A25650" w:rsidRDefault="001D5833" w:rsidP="006306A6">
            <w:pPr>
              <w:pStyle w:val="ListParagraph"/>
              <w:snapToGrid w:val="0"/>
              <w:spacing w:after="0" w:line="240" w:lineRule="auto"/>
              <w:ind w:left="0"/>
              <w:contextualSpacing w:val="0"/>
              <w:jc w:val="both"/>
              <w:rPr>
                <w:sz w:val="21"/>
                <w:szCs w:val="21"/>
              </w:rPr>
            </w:pPr>
          </w:p>
        </w:tc>
      </w:tr>
      <w:tr w:rsidR="001D5833" w:rsidRPr="004754D3" w:rsidTr="006306A6">
        <w:tc>
          <w:tcPr>
            <w:tcW w:w="2268" w:type="dxa"/>
            <w:shd w:val="clear" w:color="000000" w:fill="FFFFFF"/>
          </w:tcPr>
          <w:p w:rsidR="001D5833" w:rsidRDefault="001D5833" w:rsidP="006306A6">
            <w:pPr>
              <w:snapToGrid w:val="0"/>
              <w:spacing w:after="0" w:line="240" w:lineRule="auto"/>
              <w:rPr>
                <w:sz w:val="21"/>
                <w:szCs w:val="21"/>
              </w:rPr>
            </w:pPr>
            <w:r>
              <w:rPr>
                <w:sz w:val="21"/>
                <w:szCs w:val="21"/>
              </w:rPr>
              <w:t>In the case of a new applicant, a</w:t>
            </w:r>
            <w:r w:rsidRPr="002B10D0">
              <w:rPr>
                <w:sz w:val="21"/>
                <w:szCs w:val="21"/>
              </w:rPr>
              <w:t xml:space="preserve">s soon as practicable after approval of the listing application by the </w:t>
            </w:r>
            <w:r>
              <w:rPr>
                <w:sz w:val="21"/>
                <w:szCs w:val="21"/>
              </w:rPr>
              <w:t>HKSE</w:t>
            </w:r>
            <w:r w:rsidRPr="002B10D0">
              <w:rPr>
                <w:sz w:val="21"/>
                <w:szCs w:val="21"/>
              </w:rPr>
              <w:t xml:space="preserve"> but on or before the date of issue of the listing document</w:t>
            </w:r>
          </w:p>
          <w:p w:rsidR="001D5833" w:rsidRPr="002B10D0" w:rsidRDefault="001D5833" w:rsidP="006306A6">
            <w:pPr>
              <w:snapToGrid w:val="0"/>
              <w:spacing w:after="0" w:line="240" w:lineRule="auto"/>
              <w:rPr>
                <w:sz w:val="21"/>
                <w:szCs w:val="21"/>
              </w:rPr>
            </w:pPr>
          </w:p>
        </w:tc>
        <w:tc>
          <w:tcPr>
            <w:tcW w:w="7088" w:type="dxa"/>
            <w:shd w:val="clear" w:color="000000" w:fill="FFFFFF"/>
          </w:tcPr>
          <w:p w:rsidR="001D5833" w:rsidRPr="00A25650" w:rsidRDefault="001D5833" w:rsidP="001D5833">
            <w:pPr>
              <w:pStyle w:val="ListParagraph"/>
              <w:numPr>
                <w:ilvl w:val="0"/>
                <w:numId w:val="8"/>
              </w:numPr>
              <w:snapToGrid w:val="0"/>
              <w:spacing w:after="0" w:line="240" w:lineRule="auto"/>
              <w:ind w:left="459" w:hanging="284"/>
              <w:contextualSpacing w:val="0"/>
              <w:jc w:val="both"/>
              <w:rPr>
                <w:sz w:val="21"/>
                <w:szCs w:val="21"/>
              </w:rPr>
            </w:pPr>
            <w:r>
              <w:rPr>
                <w:rFonts w:hint="eastAsia"/>
                <w:sz w:val="21"/>
                <w:szCs w:val="21"/>
              </w:rPr>
              <w:t>a copy</w:t>
            </w:r>
            <w:r w:rsidRPr="00A25650">
              <w:rPr>
                <w:sz w:val="21"/>
                <w:szCs w:val="21"/>
              </w:rPr>
              <w:t xml:space="preserve"> of the listing document  dated and signed by every person who is a director or officer of the governing body of the CIS</w:t>
            </w:r>
            <w:r>
              <w:rPr>
                <w:sz w:val="21"/>
                <w:szCs w:val="21"/>
              </w:rPr>
              <w:t xml:space="preserve"> </w:t>
            </w:r>
            <w:r>
              <w:rPr>
                <w:rFonts w:hint="eastAsia"/>
                <w:sz w:val="21"/>
                <w:szCs w:val="21"/>
              </w:rPr>
              <w:t>or the functional equivalent in discharging the officer</w:t>
            </w:r>
            <w:r>
              <w:rPr>
                <w:sz w:val="21"/>
                <w:szCs w:val="21"/>
              </w:rPr>
              <w:t>’</w:t>
            </w:r>
            <w:r>
              <w:rPr>
                <w:rFonts w:hint="eastAsia"/>
                <w:sz w:val="21"/>
                <w:szCs w:val="21"/>
              </w:rPr>
              <w:t xml:space="preserve">s duties or by his agent authorised in writing and by or on behalf of the CIS Operator </w:t>
            </w:r>
            <w:r w:rsidRPr="00A25650">
              <w:rPr>
                <w:sz w:val="21"/>
                <w:szCs w:val="21"/>
              </w:rPr>
              <w:t>and where any document is signed by an agent, a certified copy of the authorisation for such signature; and</w:t>
            </w:r>
          </w:p>
          <w:p w:rsidR="001D5833" w:rsidRPr="00A25650" w:rsidRDefault="001D5833" w:rsidP="001D5833">
            <w:pPr>
              <w:pStyle w:val="ListParagraph"/>
              <w:numPr>
                <w:ilvl w:val="0"/>
                <w:numId w:val="8"/>
              </w:numPr>
              <w:snapToGrid w:val="0"/>
              <w:spacing w:after="0" w:line="240" w:lineRule="auto"/>
              <w:ind w:left="459" w:hanging="284"/>
              <w:contextualSpacing w:val="0"/>
              <w:jc w:val="both"/>
              <w:rPr>
                <w:sz w:val="21"/>
                <w:szCs w:val="21"/>
              </w:rPr>
            </w:pPr>
            <w:proofErr w:type="gramStart"/>
            <w:r>
              <w:rPr>
                <w:rFonts w:hint="eastAsia"/>
                <w:sz w:val="21"/>
                <w:szCs w:val="21"/>
              </w:rPr>
              <w:t>a</w:t>
            </w:r>
            <w:proofErr w:type="gramEnd"/>
            <w:r>
              <w:rPr>
                <w:rFonts w:hint="eastAsia"/>
                <w:sz w:val="21"/>
                <w:szCs w:val="21"/>
              </w:rPr>
              <w:t xml:space="preserve"> copy</w:t>
            </w:r>
            <w:r w:rsidRPr="00A25650">
              <w:rPr>
                <w:sz w:val="21"/>
                <w:szCs w:val="21"/>
              </w:rPr>
              <w:t xml:space="preserve"> of any application form to subscribe or purchase the CIS interests for which listing is sought.</w:t>
            </w:r>
          </w:p>
          <w:p w:rsidR="001D5833" w:rsidRPr="00A25650" w:rsidRDefault="001D5833" w:rsidP="006306A6">
            <w:pPr>
              <w:pStyle w:val="Heading2"/>
              <w:snapToGrid w:val="0"/>
              <w:ind w:left="459" w:hanging="284"/>
              <w:jc w:val="both"/>
              <w:rPr>
                <w:sz w:val="21"/>
                <w:szCs w:val="21"/>
                <w:lang w:val="en-GB"/>
              </w:rPr>
            </w:pPr>
          </w:p>
        </w:tc>
      </w:tr>
      <w:tr w:rsidR="001D5833" w:rsidRPr="004754D3" w:rsidTr="006306A6">
        <w:tc>
          <w:tcPr>
            <w:tcW w:w="2268" w:type="dxa"/>
            <w:shd w:val="clear" w:color="000000" w:fill="FFFFFF"/>
          </w:tcPr>
          <w:p w:rsidR="001D5833" w:rsidRDefault="001D5833" w:rsidP="006306A6">
            <w:pPr>
              <w:snapToGrid w:val="0"/>
              <w:spacing w:after="0" w:line="240" w:lineRule="auto"/>
              <w:rPr>
                <w:sz w:val="21"/>
                <w:szCs w:val="21"/>
              </w:rPr>
            </w:pPr>
            <w:r w:rsidRPr="002B10D0">
              <w:rPr>
                <w:sz w:val="21"/>
                <w:szCs w:val="21"/>
              </w:rPr>
              <w:t>As soon as practicable after the issue of the listing document but before dealings commence</w:t>
            </w:r>
          </w:p>
          <w:p w:rsidR="001D5833" w:rsidRPr="002B10D0" w:rsidRDefault="001D5833" w:rsidP="006306A6">
            <w:pPr>
              <w:snapToGrid w:val="0"/>
              <w:spacing w:after="0" w:line="240" w:lineRule="auto"/>
              <w:rPr>
                <w:sz w:val="21"/>
                <w:szCs w:val="21"/>
              </w:rPr>
            </w:pPr>
            <w:r w:rsidRPr="002B10D0">
              <w:rPr>
                <w:sz w:val="21"/>
                <w:szCs w:val="21"/>
              </w:rPr>
              <w:t xml:space="preserve"> </w:t>
            </w:r>
          </w:p>
        </w:tc>
        <w:tc>
          <w:tcPr>
            <w:tcW w:w="7088" w:type="dxa"/>
            <w:shd w:val="clear" w:color="000000" w:fill="FFFFFF"/>
          </w:tcPr>
          <w:p w:rsidR="001D5833" w:rsidRPr="00A25650" w:rsidRDefault="001D5833" w:rsidP="001D5833">
            <w:pPr>
              <w:pStyle w:val="ListParagraph"/>
              <w:numPr>
                <w:ilvl w:val="0"/>
                <w:numId w:val="8"/>
              </w:numPr>
              <w:snapToGrid w:val="0"/>
              <w:spacing w:after="0" w:line="240" w:lineRule="auto"/>
              <w:ind w:left="459" w:hanging="284"/>
              <w:contextualSpacing w:val="0"/>
              <w:jc w:val="both"/>
              <w:rPr>
                <w:sz w:val="21"/>
                <w:szCs w:val="21"/>
              </w:rPr>
            </w:pPr>
            <w:r w:rsidRPr="00A25650">
              <w:rPr>
                <w:sz w:val="21"/>
                <w:szCs w:val="21"/>
              </w:rPr>
              <w:t>certified copy of the resolutions</w:t>
            </w:r>
            <w:r>
              <w:rPr>
                <w:sz w:val="21"/>
                <w:szCs w:val="21"/>
              </w:rPr>
              <w:t xml:space="preserve"> referred to in the listing document</w:t>
            </w:r>
            <w:r w:rsidRPr="00A25650">
              <w:rPr>
                <w:sz w:val="21"/>
                <w:szCs w:val="21"/>
              </w:rPr>
              <w:t xml:space="preserve">; </w:t>
            </w:r>
          </w:p>
          <w:p w:rsidR="001D5833" w:rsidRPr="00A25650" w:rsidRDefault="001D5833" w:rsidP="001D5833">
            <w:pPr>
              <w:pStyle w:val="ListParagraph"/>
              <w:numPr>
                <w:ilvl w:val="0"/>
                <w:numId w:val="8"/>
              </w:numPr>
              <w:snapToGrid w:val="0"/>
              <w:spacing w:after="0" w:line="240" w:lineRule="auto"/>
              <w:ind w:left="459" w:hanging="284"/>
              <w:contextualSpacing w:val="0"/>
              <w:jc w:val="both"/>
              <w:rPr>
                <w:sz w:val="21"/>
                <w:szCs w:val="21"/>
              </w:rPr>
            </w:pPr>
            <w:r w:rsidRPr="00A25650">
              <w:rPr>
                <w:sz w:val="21"/>
                <w:szCs w:val="21"/>
              </w:rPr>
              <w:t>certified copy of the trust deed or memorandum and articles of association</w:t>
            </w:r>
            <w:r>
              <w:rPr>
                <w:sz w:val="21"/>
                <w:szCs w:val="21"/>
              </w:rPr>
              <w:t xml:space="preserve"> or other document constituting the CIS</w:t>
            </w:r>
            <w:r w:rsidRPr="00A25650">
              <w:rPr>
                <w:sz w:val="21"/>
                <w:szCs w:val="21"/>
              </w:rPr>
              <w:t>; and</w:t>
            </w:r>
          </w:p>
          <w:p w:rsidR="001D5833" w:rsidRPr="00A25650" w:rsidRDefault="001D5833" w:rsidP="001D5833">
            <w:pPr>
              <w:pStyle w:val="ListParagraph"/>
              <w:numPr>
                <w:ilvl w:val="0"/>
                <w:numId w:val="8"/>
              </w:numPr>
              <w:snapToGrid w:val="0"/>
              <w:spacing w:after="0" w:line="240" w:lineRule="auto"/>
              <w:ind w:left="459" w:hanging="284"/>
              <w:contextualSpacing w:val="0"/>
              <w:jc w:val="both"/>
              <w:rPr>
                <w:sz w:val="21"/>
                <w:szCs w:val="21"/>
              </w:rPr>
            </w:pPr>
            <w:r w:rsidRPr="00A25650">
              <w:rPr>
                <w:sz w:val="21"/>
                <w:szCs w:val="21"/>
              </w:rPr>
              <w:t>annual listing fee which is payable and which has not previously been paid</w:t>
            </w:r>
          </w:p>
          <w:p w:rsidR="001D5833" w:rsidRPr="00A25650" w:rsidRDefault="001D5833" w:rsidP="006306A6">
            <w:pPr>
              <w:pStyle w:val="Heading2"/>
              <w:snapToGrid w:val="0"/>
              <w:ind w:left="459" w:hanging="284"/>
              <w:jc w:val="both"/>
              <w:rPr>
                <w:sz w:val="21"/>
                <w:szCs w:val="21"/>
                <w:lang w:val="en-GB"/>
              </w:rPr>
            </w:pPr>
          </w:p>
        </w:tc>
      </w:tr>
    </w:tbl>
    <w:p w:rsidR="001D5833" w:rsidRDefault="001D5833" w:rsidP="001D5833">
      <w:pPr>
        <w:snapToGrid w:val="0"/>
        <w:spacing w:after="0" w:line="240" w:lineRule="auto"/>
        <w:jc w:val="both"/>
      </w:pPr>
    </w:p>
    <w:p w:rsidR="001D5833" w:rsidRDefault="001D5833" w:rsidP="001D5833">
      <w:pPr>
        <w:snapToGrid w:val="0"/>
        <w:spacing w:after="0" w:line="240" w:lineRule="auto"/>
        <w:jc w:val="both"/>
      </w:pPr>
      <w:r>
        <w:t>Where a new CIS applicant has appointed a listing agent which is required to discharge the functions equivalent to those of a sponsor, the CIS must publish an Application Proof of its listing document on the Exchange’s website at the same time as the CIS applicant files an application for authorisation with the SFC.  A Post Hearing Information Pack (“</w:t>
      </w:r>
      <w:r w:rsidRPr="0007748B">
        <w:rPr>
          <w:b/>
        </w:rPr>
        <w:t>PHIP</w:t>
      </w:r>
      <w:r>
        <w:t>”) must be submitted for publication on the Exchange’s website upon receipt of an approval in principle letter from the SFC together with a request to post a PHIP.</w:t>
      </w:r>
    </w:p>
    <w:p w:rsidR="001D5833" w:rsidRPr="00E629A5" w:rsidRDefault="001D5833" w:rsidP="001D5833">
      <w:pPr>
        <w:snapToGrid w:val="0"/>
        <w:spacing w:after="0" w:line="240" w:lineRule="auto"/>
        <w:jc w:val="both"/>
      </w:pPr>
    </w:p>
    <w:p w:rsidR="001D5833" w:rsidRDefault="001D5833" w:rsidP="001D5833">
      <w:pPr>
        <w:pStyle w:val="ListParagraph"/>
        <w:snapToGrid w:val="0"/>
        <w:spacing w:after="0" w:line="240" w:lineRule="auto"/>
        <w:ind w:left="0"/>
        <w:contextualSpacing w:val="0"/>
        <w:jc w:val="both"/>
        <w:rPr>
          <w:u w:val="single"/>
        </w:rPr>
      </w:pPr>
      <w:r w:rsidRPr="00A25650">
        <w:rPr>
          <w:u w:val="single"/>
        </w:rPr>
        <w:t xml:space="preserve">Requirements for </w:t>
      </w:r>
      <w:r>
        <w:rPr>
          <w:u w:val="single"/>
        </w:rPr>
        <w:t>l</w:t>
      </w:r>
      <w:r w:rsidRPr="00A25650">
        <w:rPr>
          <w:u w:val="single"/>
        </w:rPr>
        <w:t xml:space="preserve">isting </w:t>
      </w:r>
      <w:r>
        <w:rPr>
          <w:u w:val="single"/>
        </w:rPr>
        <w:t>d</w:t>
      </w:r>
      <w:r w:rsidRPr="00A25650">
        <w:rPr>
          <w:u w:val="single"/>
        </w:rPr>
        <w:t>ocument</w:t>
      </w:r>
    </w:p>
    <w:p w:rsidR="001D5833" w:rsidRPr="00A25650" w:rsidRDefault="001D5833" w:rsidP="001D5833">
      <w:pPr>
        <w:pStyle w:val="ListParagraph"/>
        <w:snapToGrid w:val="0"/>
        <w:spacing w:after="0" w:line="240" w:lineRule="auto"/>
        <w:ind w:left="0"/>
        <w:contextualSpacing w:val="0"/>
        <w:jc w:val="both"/>
        <w:rPr>
          <w:u w:val="single"/>
        </w:rPr>
      </w:pPr>
    </w:p>
    <w:p w:rsidR="001D5833" w:rsidRDefault="001D5833" w:rsidP="001D5833">
      <w:pPr>
        <w:snapToGrid w:val="0"/>
        <w:spacing w:after="0" w:line="240" w:lineRule="auto"/>
        <w:jc w:val="both"/>
      </w:pPr>
      <w:r>
        <w:t xml:space="preserve">Every listing document issued by or on behalf of a CIS must comply with the following requirements: </w:t>
      </w:r>
    </w:p>
    <w:p w:rsidR="001D5833" w:rsidRDefault="001D5833" w:rsidP="001D5833">
      <w:pPr>
        <w:snapToGrid w:val="0"/>
        <w:spacing w:after="0" w:line="240" w:lineRule="auto"/>
        <w:jc w:val="both"/>
      </w:pPr>
    </w:p>
    <w:p w:rsidR="001D5833" w:rsidRDefault="001D5833" w:rsidP="001D5833">
      <w:pPr>
        <w:pStyle w:val="ListParagraph"/>
        <w:numPr>
          <w:ilvl w:val="0"/>
          <w:numId w:val="1"/>
        </w:numPr>
        <w:snapToGrid w:val="0"/>
        <w:spacing w:after="0" w:line="240" w:lineRule="auto"/>
        <w:contextualSpacing w:val="0"/>
        <w:jc w:val="both"/>
      </w:pPr>
      <w:r>
        <w:t>contain a statement that application has been made to the HKSE for listing of and for permission to deal in the CIS interests;</w:t>
      </w:r>
    </w:p>
    <w:p w:rsidR="001D5833" w:rsidRDefault="001D5833" w:rsidP="001D5833">
      <w:pPr>
        <w:pStyle w:val="ListParagraph"/>
        <w:numPr>
          <w:ilvl w:val="0"/>
          <w:numId w:val="1"/>
        </w:numPr>
        <w:snapToGrid w:val="0"/>
        <w:spacing w:after="0" w:line="240" w:lineRule="auto"/>
        <w:contextualSpacing w:val="0"/>
        <w:jc w:val="both"/>
      </w:pPr>
      <w:r>
        <w:t>contain the CIS Disclosure Document authorised by the SFC and other relevant information relating to the listing of the CIS;</w:t>
      </w:r>
    </w:p>
    <w:p w:rsidR="001D5833" w:rsidRDefault="001D5833" w:rsidP="001D5833">
      <w:pPr>
        <w:pStyle w:val="ListParagraph"/>
        <w:numPr>
          <w:ilvl w:val="0"/>
          <w:numId w:val="1"/>
        </w:numPr>
        <w:snapToGrid w:val="0"/>
        <w:spacing w:after="0" w:line="240" w:lineRule="auto"/>
        <w:contextualSpacing w:val="0"/>
        <w:jc w:val="both"/>
      </w:pPr>
      <w:r>
        <w:t>contain particulars of any other stock exchange on which any part of the CIS interests is listed or dealt in or where listing or permission to deal is being or will be sought, the name of the stock exchange on which the primary listing is or will be and particulars of the dealing and settlement arrangements on each such exchange and between such exchanges, or an appropriate negative statement;</w:t>
      </w:r>
    </w:p>
    <w:p w:rsidR="001D5833" w:rsidRDefault="001D5833" w:rsidP="001D5833">
      <w:pPr>
        <w:pStyle w:val="ListParagraph"/>
        <w:numPr>
          <w:ilvl w:val="0"/>
          <w:numId w:val="1"/>
        </w:numPr>
        <w:snapToGrid w:val="0"/>
        <w:spacing w:after="0" w:line="240" w:lineRule="auto"/>
        <w:contextualSpacing w:val="0"/>
        <w:jc w:val="both"/>
      </w:pPr>
      <w:r>
        <w:t>be in English language and (to the extent required by the SFC) be accompanied by a Chinese translation except that in the case of a new applicant, the English language version of the listing document may be distributed separately from its Chinese translation provided that both are available at the place where, and for so long as, the distribution of such documents takes place.</w:t>
      </w:r>
    </w:p>
    <w:p w:rsidR="001D5833" w:rsidRDefault="001D5833" w:rsidP="001D5833">
      <w:pPr>
        <w:pStyle w:val="ListParagraph"/>
        <w:snapToGrid w:val="0"/>
        <w:spacing w:after="0" w:line="240" w:lineRule="auto"/>
        <w:contextualSpacing w:val="0"/>
        <w:jc w:val="both"/>
      </w:pPr>
    </w:p>
    <w:p w:rsidR="001D5833" w:rsidRDefault="001D5833" w:rsidP="001D5833">
      <w:pPr>
        <w:pStyle w:val="ListParagraph"/>
        <w:snapToGrid w:val="0"/>
        <w:spacing w:after="0" w:line="240" w:lineRule="auto"/>
        <w:contextualSpacing w:val="0"/>
        <w:jc w:val="both"/>
      </w:pPr>
    </w:p>
    <w:p w:rsidR="001D5833" w:rsidRPr="00A25650" w:rsidRDefault="001D5833" w:rsidP="001D5833">
      <w:pPr>
        <w:pStyle w:val="ListParagraph"/>
        <w:snapToGrid w:val="0"/>
        <w:spacing w:after="0" w:line="240" w:lineRule="auto"/>
        <w:ind w:left="0"/>
        <w:contextualSpacing w:val="0"/>
        <w:jc w:val="both"/>
        <w:rPr>
          <w:u w:val="single"/>
        </w:rPr>
      </w:pPr>
      <w:r w:rsidRPr="00A25650">
        <w:rPr>
          <w:u w:val="single"/>
        </w:rPr>
        <w:t xml:space="preserve">Listing </w:t>
      </w:r>
      <w:r>
        <w:rPr>
          <w:u w:val="single"/>
        </w:rPr>
        <w:t>a</w:t>
      </w:r>
      <w:r w:rsidRPr="00A25650">
        <w:rPr>
          <w:u w:val="single"/>
        </w:rPr>
        <w:t xml:space="preserve">greement </w:t>
      </w:r>
    </w:p>
    <w:p w:rsidR="001D5833" w:rsidRDefault="001D5833" w:rsidP="001D5833">
      <w:pPr>
        <w:snapToGrid w:val="0"/>
        <w:spacing w:after="0" w:line="240" w:lineRule="auto"/>
        <w:jc w:val="both"/>
      </w:pPr>
    </w:p>
    <w:p w:rsidR="001D5833" w:rsidRDefault="001D5833" w:rsidP="001D5833">
      <w:pPr>
        <w:snapToGrid w:val="0"/>
        <w:spacing w:after="0" w:line="240" w:lineRule="auto"/>
        <w:jc w:val="both"/>
      </w:pPr>
      <w:r>
        <w:t>Every CIS is required to sign a formal agreement with Exchange in the form set out in Part G of Appendix 7 to the Listing Rules by which the signatories to the agreement undertake to comply with the continuing obligations to which they will be subject (including compliance with SFC’s authorisation conditions and the Listing Rules</w:t>
      </w:r>
      <w:r>
        <w:rPr>
          <w:rFonts w:hint="eastAsia"/>
        </w:rPr>
        <w:t>,</w:t>
      </w:r>
      <w:r>
        <w:t xml:space="preserve"> including compliance with disclosure and notification requirements, adherence with investment policies etc.)</w:t>
      </w:r>
    </w:p>
    <w:p w:rsidR="001D5833" w:rsidRDefault="001D5833" w:rsidP="001D5833">
      <w:pPr>
        <w:snapToGrid w:val="0"/>
        <w:spacing w:after="0" w:line="240" w:lineRule="auto"/>
        <w:jc w:val="both"/>
      </w:pPr>
    </w:p>
    <w:p w:rsidR="001D5833" w:rsidRDefault="001D5833" w:rsidP="001D5833">
      <w:pPr>
        <w:snapToGrid w:val="0"/>
        <w:spacing w:after="0" w:line="240" w:lineRule="auto"/>
        <w:jc w:val="both"/>
      </w:pPr>
      <w:r>
        <w:t>The listing agreement is required to be signed by and on behalf of the directors of the CIS, the CIS Operator and the trustee/custodian, the first time any CIS interests are listed and must be lodged with the HSKE at the time of submission of Form A2.</w:t>
      </w:r>
    </w:p>
    <w:p w:rsidR="001D5833" w:rsidRDefault="001D5833" w:rsidP="001D5833">
      <w:pPr>
        <w:snapToGrid w:val="0"/>
        <w:spacing w:after="0" w:line="240" w:lineRule="auto"/>
        <w:jc w:val="both"/>
      </w:pPr>
    </w:p>
    <w:p w:rsidR="001D5833" w:rsidRPr="00E629A5" w:rsidRDefault="001D5833" w:rsidP="001D5833">
      <w:pPr>
        <w:snapToGrid w:val="0"/>
        <w:spacing w:after="0" w:line="240" w:lineRule="auto"/>
        <w:jc w:val="both"/>
        <w:rPr>
          <w:u w:val="single"/>
        </w:rPr>
      </w:pPr>
      <w:r>
        <w:rPr>
          <w:u w:val="single"/>
        </w:rPr>
        <w:t>Ongoing disclosure requirements</w:t>
      </w:r>
    </w:p>
    <w:p w:rsidR="001D5833" w:rsidRDefault="001D5833" w:rsidP="001D5833">
      <w:pPr>
        <w:snapToGrid w:val="0"/>
        <w:spacing w:after="0" w:line="240" w:lineRule="auto"/>
        <w:jc w:val="both"/>
      </w:pPr>
    </w:p>
    <w:p w:rsidR="001D5833" w:rsidRDefault="001D5833" w:rsidP="001D5833">
      <w:pPr>
        <w:snapToGrid w:val="0"/>
        <w:spacing w:after="0" w:line="240" w:lineRule="auto"/>
        <w:jc w:val="both"/>
      </w:pPr>
      <w:r>
        <w:t>The major ongoing obligations for CIS under the Listing Agreement are to:</w:t>
      </w:r>
    </w:p>
    <w:p w:rsidR="001D5833" w:rsidRDefault="001D5833" w:rsidP="001D5833">
      <w:pPr>
        <w:snapToGrid w:val="0"/>
        <w:spacing w:after="0" w:line="240" w:lineRule="auto"/>
        <w:jc w:val="both"/>
      </w:pPr>
    </w:p>
    <w:p w:rsidR="001D5833" w:rsidRDefault="001D5833" w:rsidP="001D5833">
      <w:pPr>
        <w:numPr>
          <w:ilvl w:val="0"/>
          <w:numId w:val="14"/>
        </w:numPr>
        <w:snapToGrid w:val="0"/>
        <w:spacing w:after="0" w:line="240" w:lineRule="auto"/>
        <w:jc w:val="both"/>
      </w:pPr>
      <w:r>
        <w:t>inform the HKSE immediately of: (</w:t>
      </w:r>
      <w:proofErr w:type="spellStart"/>
      <w:r>
        <w:t>i</w:t>
      </w:r>
      <w:proofErr w:type="spellEnd"/>
      <w:r>
        <w:t>) any SFC notice to withdraw the CIS’ authorisation; (ii) any intention to vary or terminate the CIS; and (iii) any information necessary to enable the holders of interests to appraise the position of the CIS and to avoid the establishment of a false market in the interests of the CIS;</w:t>
      </w:r>
    </w:p>
    <w:p w:rsidR="001D5833" w:rsidRDefault="001D5833" w:rsidP="001D5833">
      <w:pPr>
        <w:snapToGrid w:val="0"/>
        <w:spacing w:after="0" w:line="240" w:lineRule="auto"/>
        <w:ind w:left="720"/>
        <w:jc w:val="both"/>
      </w:pPr>
    </w:p>
    <w:p w:rsidR="001D5833" w:rsidRDefault="001D5833" w:rsidP="001D5833">
      <w:pPr>
        <w:numPr>
          <w:ilvl w:val="0"/>
          <w:numId w:val="14"/>
        </w:numPr>
        <w:snapToGrid w:val="0"/>
        <w:spacing w:after="0" w:line="240" w:lineRule="atLeast"/>
        <w:jc w:val="both"/>
      </w:pPr>
      <w:r>
        <w:t>to respond promptly to enquiries made by the Exchange including those relating to unusual movements in the price or trading volume of the CIS’s listed interests or any other matters;</w:t>
      </w:r>
    </w:p>
    <w:p w:rsidR="001D5833" w:rsidRDefault="001D5833" w:rsidP="001D5833">
      <w:pPr>
        <w:pStyle w:val="ListParagraph"/>
        <w:spacing w:after="0" w:line="240" w:lineRule="atLeast"/>
      </w:pPr>
    </w:p>
    <w:p w:rsidR="001D5833" w:rsidRDefault="001D5833" w:rsidP="001D5833">
      <w:pPr>
        <w:numPr>
          <w:ilvl w:val="0"/>
          <w:numId w:val="14"/>
        </w:numPr>
        <w:snapToGrid w:val="0"/>
        <w:spacing w:after="0" w:line="240" w:lineRule="atLeast"/>
        <w:jc w:val="both"/>
      </w:pPr>
      <w:proofErr w:type="gramStart"/>
      <w:r>
        <w:t>filing</w:t>
      </w:r>
      <w:proofErr w:type="gramEnd"/>
      <w:r>
        <w:t xml:space="preserve"> and forwarding the specified number of copies of its corporate disclosure materials (e.g. circulars, notices, annual reports etc.) to the Exchange and authorising the Exchange to file these materials with the SFC under the Securities and Futures (Stock Market Listing) Rules.</w:t>
      </w:r>
    </w:p>
    <w:p w:rsidR="001D5833" w:rsidRDefault="001D5833" w:rsidP="001D5833">
      <w:pPr>
        <w:snapToGrid w:val="0"/>
        <w:spacing w:after="0" w:line="240" w:lineRule="atLeast"/>
        <w:jc w:val="both"/>
      </w:pPr>
    </w:p>
    <w:p w:rsidR="001D5833" w:rsidRDefault="001D5833" w:rsidP="001D5833">
      <w:pPr>
        <w:snapToGrid w:val="0"/>
        <w:spacing w:after="0" w:line="240" w:lineRule="atLeast"/>
        <w:jc w:val="both"/>
      </w:pPr>
      <w:r>
        <w:t>ETF managers are also required to submit a daily report for their ETFs to disclose information including NAV, AUM, total units outstanding, premium/discount etc.</w:t>
      </w:r>
    </w:p>
    <w:p w:rsidR="001D5833" w:rsidRDefault="001D5833" w:rsidP="001D5833">
      <w:pPr>
        <w:pStyle w:val="ListParagraph"/>
        <w:snapToGrid w:val="0"/>
        <w:spacing w:after="0" w:line="240" w:lineRule="auto"/>
        <w:ind w:left="360"/>
        <w:contextualSpacing w:val="0"/>
        <w:jc w:val="both"/>
        <w:rPr>
          <w:b/>
          <w:lang w:val="en-US"/>
        </w:rPr>
      </w:pPr>
    </w:p>
    <w:p w:rsidR="001D5833" w:rsidRPr="00C135A1" w:rsidRDefault="001D5833" w:rsidP="001D5833">
      <w:pPr>
        <w:pStyle w:val="Heading1"/>
        <w:rPr>
          <w:rFonts w:ascii="Times New Roman" w:hAnsi="Times New Roman"/>
          <w:sz w:val="24"/>
          <w:szCs w:val="24"/>
        </w:rPr>
      </w:pPr>
      <w:bookmarkStart w:id="9" w:name="_Toc476841233"/>
      <w:r w:rsidRPr="00C135A1">
        <w:rPr>
          <w:rFonts w:ascii="Times New Roman" w:hAnsi="Times New Roman"/>
          <w:sz w:val="24"/>
          <w:szCs w:val="24"/>
        </w:rPr>
        <w:t>Trading ETFs in Hong Kong</w:t>
      </w:r>
      <w:bookmarkEnd w:id="9"/>
    </w:p>
    <w:p w:rsidR="001D5833" w:rsidRPr="00E629A5" w:rsidRDefault="001D5833" w:rsidP="001D5833">
      <w:pPr>
        <w:snapToGrid w:val="0"/>
        <w:spacing w:after="0" w:line="240" w:lineRule="auto"/>
        <w:jc w:val="both"/>
        <w:rPr>
          <w:b/>
        </w:rPr>
      </w:pPr>
    </w:p>
    <w:p w:rsidR="001D5833" w:rsidRPr="00E629A5" w:rsidRDefault="001D5833" w:rsidP="001D5833">
      <w:pPr>
        <w:snapToGrid w:val="0"/>
        <w:spacing w:after="0" w:line="240" w:lineRule="auto"/>
        <w:jc w:val="both"/>
        <w:rPr>
          <w:u w:val="single"/>
        </w:rPr>
      </w:pPr>
      <w:r w:rsidRPr="00E629A5">
        <w:rPr>
          <w:u w:val="single"/>
        </w:rPr>
        <w:t>Market making</w:t>
      </w:r>
    </w:p>
    <w:p w:rsidR="001D5833" w:rsidRDefault="001D5833" w:rsidP="001D5833">
      <w:pPr>
        <w:snapToGrid w:val="0"/>
        <w:spacing w:after="0" w:line="240" w:lineRule="auto"/>
        <w:jc w:val="both"/>
      </w:pPr>
    </w:p>
    <w:p w:rsidR="001D5833" w:rsidRDefault="001D5833" w:rsidP="001D5833">
      <w:pPr>
        <w:snapToGrid w:val="0"/>
        <w:spacing w:after="0" w:line="240" w:lineRule="auto"/>
        <w:jc w:val="both"/>
      </w:pPr>
      <w:r w:rsidRPr="00E629A5">
        <w:t xml:space="preserve">The SFC requires all ETFs listed on the Exchange to have at least one market maker, namely </w:t>
      </w:r>
      <w:r>
        <w:t xml:space="preserve">a </w:t>
      </w:r>
      <w:r w:rsidRPr="00E629A5">
        <w:t>Securities Market Maker (SMM)</w:t>
      </w:r>
      <w:r w:rsidR="00D040A1">
        <w:t xml:space="preserve"> to help provide liquidity</w:t>
      </w:r>
      <w:r w:rsidRPr="00E629A5">
        <w:t>.</w:t>
      </w:r>
      <w:r w:rsidR="00D040A1">
        <w:t xml:space="preserve"> </w:t>
      </w:r>
    </w:p>
    <w:p w:rsidR="001D5833" w:rsidRPr="00E629A5" w:rsidRDefault="001D5833" w:rsidP="001D5833">
      <w:pPr>
        <w:snapToGrid w:val="0"/>
        <w:spacing w:after="0" w:line="240" w:lineRule="auto"/>
        <w:jc w:val="both"/>
        <w:rPr>
          <w:u w:val="single"/>
        </w:rPr>
      </w:pPr>
      <w:r w:rsidRPr="00E629A5">
        <w:rPr>
          <w:u w:val="single"/>
        </w:rPr>
        <w:lastRenderedPageBreak/>
        <w:t>Short Selling</w:t>
      </w:r>
    </w:p>
    <w:p w:rsidR="001D5833" w:rsidRPr="00E629A5" w:rsidRDefault="001D5833" w:rsidP="001D5833">
      <w:pPr>
        <w:snapToGrid w:val="0"/>
        <w:spacing w:after="0" w:line="240" w:lineRule="auto"/>
        <w:jc w:val="both"/>
        <w:rPr>
          <w:u w:val="single"/>
        </w:rPr>
      </w:pPr>
    </w:p>
    <w:p w:rsidR="001D5833" w:rsidRDefault="001D5833" w:rsidP="001D5833">
      <w:pPr>
        <w:pStyle w:val="ListParagraph"/>
        <w:snapToGrid w:val="0"/>
        <w:spacing w:after="0"/>
        <w:ind w:left="0"/>
        <w:jc w:val="both"/>
      </w:pPr>
      <w:r w:rsidRPr="00E629A5">
        <w:t>An ETF may be designated by HK</w:t>
      </w:r>
      <w:r>
        <w:t>S</w:t>
      </w:r>
      <w:r w:rsidRPr="00E629A5">
        <w:t>E for short selling with</w:t>
      </w:r>
      <w:r>
        <w:t xml:space="preserve"> an exemption from the </w:t>
      </w:r>
      <w:r w:rsidRPr="00E629A5">
        <w:t xml:space="preserve">tick rule (i.e. </w:t>
      </w:r>
      <w:r>
        <w:t xml:space="preserve">permitting </w:t>
      </w:r>
      <w:r w:rsidRPr="00E629A5">
        <w:t xml:space="preserve">short sales below the best current ask price) from its listing day.  </w:t>
      </w:r>
    </w:p>
    <w:p w:rsidR="001D5833" w:rsidRPr="00E629A5" w:rsidRDefault="001D5833" w:rsidP="001D5833">
      <w:pPr>
        <w:pStyle w:val="ListParagraph"/>
        <w:snapToGrid w:val="0"/>
        <w:spacing w:after="0"/>
        <w:ind w:left="0"/>
        <w:jc w:val="both"/>
      </w:pPr>
    </w:p>
    <w:p w:rsidR="001D5833" w:rsidRPr="00E629A5" w:rsidRDefault="001D5833" w:rsidP="001D5833">
      <w:pPr>
        <w:pStyle w:val="ListParagraph"/>
        <w:snapToGrid w:val="0"/>
        <w:spacing w:after="0"/>
        <w:ind w:left="0"/>
        <w:jc w:val="both"/>
        <w:rPr>
          <w:u w:val="single"/>
        </w:rPr>
      </w:pPr>
      <w:r w:rsidRPr="00E629A5">
        <w:rPr>
          <w:u w:val="single"/>
        </w:rPr>
        <w:t>Stamp duty</w:t>
      </w:r>
    </w:p>
    <w:p w:rsidR="001D5833" w:rsidRDefault="001D5833" w:rsidP="001D5833">
      <w:pPr>
        <w:pStyle w:val="ListParagraph"/>
        <w:snapToGrid w:val="0"/>
        <w:spacing w:after="0"/>
        <w:ind w:left="0"/>
        <w:jc w:val="both"/>
      </w:pPr>
    </w:p>
    <w:p w:rsidR="001D5833" w:rsidRDefault="001D5833" w:rsidP="001D5833">
      <w:pPr>
        <w:pStyle w:val="ListParagraph"/>
        <w:snapToGrid w:val="0"/>
        <w:spacing w:after="0"/>
        <w:ind w:left="0"/>
        <w:jc w:val="both"/>
      </w:pPr>
      <w:r>
        <w:t>S</w:t>
      </w:r>
      <w:r w:rsidRPr="00E629A5">
        <w:t>ale</w:t>
      </w:r>
      <w:r>
        <w:t>s</w:t>
      </w:r>
      <w:r w:rsidRPr="00E629A5">
        <w:t xml:space="preserve"> and </w:t>
      </w:r>
      <w:r>
        <w:t>transfers</w:t>
      </w:r>
      <w:r w:rsidRPr="00E629A5">
        <w:t xml:space="preserve"> of </w:t>
      </w:r>
      <w:r>
        <w:t>the shares or</w:t>
      </w:r>
      <w:r w:rsidRPr="00E629A5">
        <w:t xml:space="preserve"> units of ETF</w:t>
      </w:r>
      <w:r>
        <w:t>s</w:t>
      </w:r>
      <w:r w:rsidRPr="00E629A5">
        <w:t xml:space="preserve"> which ha</w:t>
      </w:r>
      <w:r>
        <w:t>ve</w:t>
      </w:r>
      <w:r w:rsidRPr="00E629A5">
        <w:t xml:space="preserve"> a primary listing in Hong Kong and </w:t>
      </w:r>
      <w:r>
        <w:t xml:space="preserve">maintain their register of holders in Hong Kong are exempt from Hong Kong stamp duty. This follows the passing of the Stamp Duty Amendment Ordinance 2015 which came into effect on 13 February 2015 which extended the waiver to </w:t>
      </w:r>
      <w:r w:rsidRPr="00E629A5">
        <w:t>ETFs that track an index comprising not more than 40% of Hong Kong stocks</w:t>
      </w:r>
      <w:r>
        <w:t xml:space="preserve">. Previously only ETFs tracking an index comprising less than 40% of Hong Kong stocks were </w:t>
      </w:r>
      <w:r w:rsidRPr="00E629A5">
        <w:t xml:space="preserve">exempted.  </w:t>
      </w:r>
    </w:p>
    <w:p w:rsidR="001D5833" w:rsidRDefault="001D5833" w:rsidP="001D5833">
      <w:pPr>
        <w:pStyle w:val="ListParagraph"/>
        <w:snapToGrid w:val="0"/>
        <w:spacing w:after="0"/>
        <w:ind w:left="0"/>
        <w:jc w:val="both"/>
      </w:pPr>
    </w:p>
    <w:p w:rsidR="001D5833" w:rsidRPr="00E629A5" w:rsidRDefault="001D5833" w:rsidP="001D5833">
      <w:pPr>
        <w:pStyle w:val="ListParagraph"/>
        <w:snapToGrid w:val="0"/>
        <w:spacing w:after="0"/>
        <w:ind w:left="0"/>
        <w:jc w:val="both"/>
        <w:rPr>
          <w:u w:val="single"/>
        </w:rPr>
      </w:pPr>
      <w:r w:rsidRPr="00E629A5">
        <w:rPr>
          <w:u w:val="single"/>
        </w:rPr>
        <w:t>Stock code allocation</w:t>
      </w:r>
    </w:p>
    <w:p w:rsidR="001D5833" w:rsidRDefault="001D5833" w:rsidP="001D5833">
      <w:pPr>
        <w:pStyle w:val="ListParagraph"/>
        <w:snapToGrid w:val="0"/>
        <w:spacing w:after="0"/>
        <w:ind w:left="0"/>
        <w:jc w:val="both"/>
      </w:pPr>
    </w:p>
    <w:p w:rsidR="001D5833" w:rsidRPr="00E629A5" w:rsidRDefault="001D5833" w:rsidP="001D5833">
      <w:pPr>
        <w:pStyle w:val="ListParagraph"/>
        <w:snapToGrid w:val="0"/>
        <w:spacing w:after="0"/>
        <w:ind w:left="0"/>
        <w:jc w:val="both"/>
      </w:pPr>
      <w:r w:rsidRPr="00E629A5">
        <w:t>The stock code ranges (2800 - 2849 and 3000 - 3199) are reserved for ETFs (other than RMB ETFs).  ETF managers can either choose a favo</w:t>
      </w:r>
      <w:r>
        <w:t>u</w:t>
      </w:r>
      <w:r w:rsidRPr="00E629A5">
        <w:t xml:space="preserve">rite stock code with </w:t>
      </w:r>
      <w:r>
        <w:t xml:space="preserve">a </w:t>
      </w:r>
      <w:r w:rsidRPr="00E629A5">
        <w:t>donation or ballot for a stock code within the range.</w:t>
      </w:r>
    </w:p>
    <w:p w:rsidR="001D5833" w:rsidRDefault="001D5833" w:rsidP="001D5833">
      <w:pPr>
        <w:pStyle w:val="ListParagraph"/>
        <w:snapToGrid w:val="0"/>
        <w:spacing w:after="0"/>
        <w:ind w:left="0"/>
        <w:jc w:val="both"/>
      </w:pPr>
    </w:p>
    <w:p w:rsidR="001D5833" w:rsidRPr="00E629A5" w:rsidRDefault="001D5833" w:rsidP="001D5833">
      <w:pPr>
        <w:pStyle w:val="ListParagraph"/>
        <w:snapToGrid w:val="0"/>
        <w:spacing w:after="0"/>
        <w:ind w:left="0"/>
        <w:jc w:val="both"/>
      </w:pPr>
      <w:r w:rsidRPr="00E629A5">
        <w:t xml:space="preserve">Potential ETF managers and SMM are advised to contact </w:t>
      </w:r>
      <w:r>
        <w:t xml:space="preserve">the </w:t>
      </w:r>
      <w:r w:rsidRPr="00E629A5">
        <w:t xml:space="preserve">Trading Division of </w:t>
      </w:r>
      <w:r>
        <w:t xml:space="preserve">the </w:t>
      </w:r>
      <w:r w:rsidRPr="00E629A5">
        <w:t>HK</w:t>
      </w:r>
      <w:r>
        <w:t>SE</w:t>
      </w:r>
      <w:r w:rsidRPr="00E629A5">
        <w:t xml:space="preserve"> in relation to admission to trading and market making arrangements as early as possible in parallel with the process of seeking SFC authori</w:t>
      </w:r>
      <w:r>
        <w:t>s</w:t>
      </w:r>
      <w:r w:rsidRPr="00E629A5">
        <w:t>ation.</w:t>
      </w:r>
    </w:p>
    <w:p w:rsidR="001D5833" w:rsidRPr="00E629A5" w:rsidRDefault="001D5833" w:rsidP="001D5833">
      <w:pPr>
        <w:pStyle w:val="ListParagraph"/>
        <w:snapToGrid w:val="0"/>
        <w:spacing w:after="0"/>
        <w:jc w:val="both"/>
      </w:pPr>
      <w:r w:rsidRPr="00E629A5">
        <w:t> </w:t>
      </w:r>
    </w:p>
    <w:p w:rsidR="001D5833" w:rsidRPr="00E629A5" w:rsidRDefault="001D5833" w:rsidP="001D5833">
      <w:pPr>
        <w:pStyle w:val="ListParagraph"/>
        <w:snapToGrid w:val="0"/>
        <w:spacing w:after="0"/>
        <w:ind w:left="0"/>
        <w:jc w:val="both"/>
        <w:rPr>
          <w:u w:val="single"/>
        </w:rPr>
      </w:pPr>
      <w:r w:rsidRPr="00E629A5">
        <w:rPr>
          <w:u w:val="single"/>
        </w:rPr>
        <w:t>Clearing</w:t>
      </w:r>
    </w:p>
    <w:p w:rsidR="001D5833" w:rsidRDefault="001D5833" w:rsidP="001D5833">
      <w:pPr>
        <w:pStyle w:val="ListParagraph"/>
        <w:snapToGrid w:val="0"/>
        <w:spacing w:after="0"/>
        <w:jc w:val="both"/>
      </w:pPr>
    </w:p>
    <w:p w:rsidR="001D5833" w:rsidRPr="00E629A5" w:rsidRDefault="001D5833" w:rsidP="001D5833">
      <w:pPr>
        <w:pStyle w:val="ListParagraph"/>
        <w:snapToGrid w:val="0"/>
        <w:spacing w:after="0"/>
        <w:ind w:left="0"/>
        <w:jc w:val="both"/>
      </w:pPr>
      <w:r w:rsidRPr="00E629A5">
        <w:t xml:space="preserve">ETF managers will have to apply to </w:t>
      </w:r>
      <w:r>
        <w:t xml:space="preserve">the </w:t>
      </w:r>
      <w:r w:rsidRPr="00E629A5">
        <w:t>Clearing Division of HK</w:t>
      </w:r>
      <w:r>
        <w:t>SE</w:t>
      </w:r>
      <w:r w:rsidRPr="00E629A5">
        <w:t xml:space="preserve"> for the admission of the ETF units as eligible securities for deposit, clearing and settlement in CCASS before the ETF is listed.</w:t>
      </w:r>
    </w:p>
    <w:p w:rsidR="001D5833" w:rsidRDefault="001D5833" w:rsidP="001D5833">
      <w:pPr>
        <w:pStyle w:val="ListParagraph"/>
        <w:snapToGrid w:val="0"/>
        <w:spacing w:after="0"/>
        <w:ind w:left="0"/>
        <w:jc w:val="both"/>
      </w:pPr>
    </w:p>
    <w:p w:rsidR="001D5833" w:rsidRDefault="001D5833" w:rsidP="001D5833">
      <w:pPr>
        <w:pStyle w:val="ListParagraph"/>
        <w:snapToGrid w:val="0"/>
        <w:spacing w:after="0"/>
        <w:ind w:left="0"/>
        <w:jc w:val="both"/>
        <w:rPr>
          <w:i/>
        </w:rPr>
      </w:pPr>
      <w:r w:rsidRPr="00E629A5">
        <w:rPr>
          <w:i/>
        </w:rPr>
        <w:t>ETFs issued on non-HK stocks</w:t>
      </w:r>
    </w:p>
    <w:p w:rsidR="001D5833" w:rsidRPr="00E629A5" w:rsidRDefault="001D5833" w:rsidP="001D5833">
      <w:pPr>
        <w:pStyle w:val="ListParagraph"/>
        <w:snapToGrid w:val="0"/>
        <w:spacing w:after="0"/>
        <w:ind w:left="0"/>
        <w:jc w:val="both"/>
        <w:rPr>
          <w: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5"/>
        <w:gridCol w:w="8492"/>
      </w:tblGrid>
      <w:tr w:rsidR="001D5833" w:rsidRPr="00E629A5" w:rsidTr="006306A6">
        <w:trPr>
          <w:tblCellSpacing w:w="15" w:type="dxa"/>
        </w:trPr>
        <w:tc>
          <w:tcPr>
            <w:tcW w:w="0" w:type="auto"/>
            <w:hideMark/>
          </w:tcPr>
          <w:p w:rsidR="001D5833" w:rsidRPr="00E629A5" w:rsidRDefault="001D5833" w:rsidP="006306A6">
            <w:pPr>
              <w:pStyle w:val="ListParagraph"/>
              <w:snapToGrid w:val="0"/>
              <w:jc w:val="both"/>
            </w:pPr>
            <w:r w:rsidRPr="00E629A5">
              <w:fldChar w:fldCharType="begin"/>
            </w:r>
            <w:r w:rsidRPr="00E629A5">
              <w:instrText xml:space="preserve"> INCLUDEPICTURE "http://www.hkex.com.hk/SiteCollectionImages/list_dot_red.gif" \* MERGEFORMATINET </w:instrText>
            </w:r>
            <w:r w:rsidRPr="00E629A5">
              <w:fldChar w:fldCharType="separate"/>
            </w:r>
            <w:r w:rsidR="00D737FE">
              <w:fldChar w:fldCharType="begin"/>
            </w:r>
            <w:r w:rsidR="00D737FE">
              <w:instrText xml:space="preserve"> INCLUDEPICTURE  "http://www.hkex.com.hk/SiteCollectionImages/list_dot_red.gif" \* MERGEFORMATINET </w:instrText>
            </w:r>
            <w:r w:rsidR="00D737FE">
              <w:fldChar w:fldCharType="separate"/>
            </w:r>
            <w:r w:rsidR="00B75310">
              <w:fldChar w:fldCharType="begin"/>
            </w:r>
            <w:r w:rsidR="00B75310">
              <w:instrText xml:space="preserve"> INCLUDEPICTURE  "http://www.hkex.com.hk/SiteCollectionImages/list_dot_red.gif" \* MERGEFORMATINET </w:instrText>
            </w:r>
            <w:r w:rsidR="00B75310">
              <w:fldChar w:fldCharType="separate"/>
            </w:r>
            <w:r w:rsidR="003020E6">
              <w:fldChar w:fldCharType="begin"/>
            </w:r>
            <w:r w:rsidR="003020E6">
              <w:instrText xml:space="preserve"> INCLUDEPICTURE  "http://www.hkex.com.hk/SiteCollectionImages/list_dot_red.gif" \* MERGEFORMATINET </w:instrText>
            </w:r>
            <w:r w:rsidR="003020E6">
              <w:fldChar w:fldCharType="separate"/>
            </w:r>
            <w:r w:rsidR="00A7510E">
              <w:fldChar w:fldCharType="begin"/>
            </w:r>
            <w:r w:rsidR="00A7510E">
              <w:instrText xml:space="preserve"> INCLUDEPICTURE  "http://www.hkex.com.hk/SiteCollectionImages/list_dot_red.gif" \* MERGEFORMATINET </w:instrText>
            </w:r>
            <w:r w:rsidR="00A7510E">
              <w:fldChar w:fldCharType="separate"/>
            </w:r>
            <w:r w:rsidR="00211372">
              <w:fldChar w:fldCharType="begin"/>
            </w:r>
            <w:r w:rsidR="00211372">
              <w:instrText xml:space="preserve"> INCLUDEPICTURE  "http://www.hkex.com.hk/SiteCollectionImages/list_dot_red.gif" \* MERGEFORMATINET </w:instrText>
            </w:r>
            <w:r w:rsidR="00211372">
              <w:fldChar w:fldCharType="separate"/>
            </w:r>
            <w:r w:rsidR="00636CEF">
              <w:fldChar w:fldCharType="begin"/>
            </w:r>
            <w:r w:rsidR="00636CEF">
              <w:instrText xml:space="preserve"> INCLUDEPICTURE  "http://www.hkex.com.hk/SiteCollectionImages/list_dot_red.gif" \* MERGEFORMATINET </w:instrText>
            </w:r>
            <w:r w:rsidR="00636CEF">
              <w:fldChar w:fldCharType="separate"/>
            </w:r>
            <w:r w:rsidR="007A4313">
              <w:fldChar w:fldCharType="begin"/>
            </w:r>
            <w:r w:rsidR="007A4313">
              <w:instrText xml:space="preserve"> </w:instrText>
            </w:r>
            <w:r w:rsidR="007A4313">
              <w:instrText>INCLUDEPICTURE  "http://www.hkex.com.hk/SiteCollectionImages/list_dot_red.gif" \* MERGEFORMATINET</w:instrText>
            </w:r>
            <w:r w:rsidR="007A4313">
              <w:instrText xml:space="preserve"> </w:instrText>
            </w:r>
            <w:r w:rsidR="007A4313">
              <w:fldChar w:fldCharType="separate"/>
            </w:r>
            <w:r w:rsidR="007A43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7.45pt">
                  <v:imagedata r:id="rId11" r:href="rId12"/>
                </v:shape>
              </w:pict>
            </w:r>
            <w:r w:rsidR="007A4313">
              <w:fldChar w:fldCharType="end"/>
            </w:r>
            <w:r w:rsidR="00636CEF">
              <w:fldChar w:fldCharType="end"/>
            </w:r>
            <w:r w:rsidR="00211372">
              <w:fldChar w:fldCharType="end"/>
            </w:r>
            <w:r w:rsidR="00A7510E">
              <w:fldChar w:fldCharType="end"/>
            </w:r>
            <w:r w:rsidR="003020E6">
              <w:fldChar w:fldCharType="end"/>
            </w:r>
            <w:r w:rsidR="00B75310">
              <w:fldChar w:fldCharType="end"/>
            </w:r>
            <w:r w:rsidR="00D737FE">
              <w:fldChar w:fldCharType="end"/>
            </w:r>
            <w:r w:rsidRPr="00E629A5">
              <w:fldChar w:fldCharType="end"/>
            </w:r>
          </w:p>
        </w:tc>
        <w:tc>
          <w:tcPr>
            <w:tcW w:w="0" w:type="auto"/>
            <w:hideMark/>
          </w:tcPr>
          <w:p w:rsidR="001D5833" w:rsidRPr="00E629A5" w:rsidRDefault="001D5833" w:rsidP="006306A6">
            <w:pPr>
              <w:pStyle w:val="ListParagraph"/>
              <w:snapToGrid w:val="0"/>
              <w:spacing w:after="0"/>
              <w:ind w:left="0"/>
              <w:jc w:val="both"/>
            </w:pPr>
            <w:r w:rsidRPr="00E629A5">
              <w:t>HK Conversion Agency Services Limited (HKCAS), a wholly owned subsidiary of Hong Kong Securities Clearing Company Limited (HKSCC), can act as a service agent to facilitate the book-entry deposit/withdrawal of the ETF units into/from CCASS for ETF</w:t>
            </w:r>
            <w:r>
              <w:t>s</w:t>
            </w:r>
            <w:r w:rsidRPr="00E629A5">
              <w:t xml:space="preserve"> created/redeemed outside CCASS.  The ETF manager, trustee (or custodian), registrar and </w:t>
            </w:r>
            <w:r w:rsidRPr="00FD01BB">
              <w:t>Participating Dealers (“PDs”)</w:t>
            </w:r>
            <w:r w:rsidRPr="00E629A5">
              <w:t xml:space="preserve"> (who must be a CCASS Participant) need to sign a service agreement with HKSCC and HKCAS.</w:t>
            </w:r>
          </w:p>
        </w:tc>
      </w:tr>
    </w:tbl>
    <w:p w:rsidR="001D5833" w:rsidRDefault="001D5833" w:rsidP="001D5833">
      <w:pPr>
        <w:pStyle w:val="ListParagraph"/>
        <w:snapToGrid w:val="0"/>
        <w:spacing w:after="0"/>
        <w:ind w:left="0"/>
        <w:jc w:val="both"/>
      </w:pPr>
    </w:p>
    <w:p w:rsidR="001D5833" w:rsidRDefault="001D5833" w:rsidP="001D5833">
      <w:pPr>
        <w:pStyle w:val="ListParagraph"/>
        <w:snapToGrid w:val="0"/>
        <w:spacing w:after="0"/>
        <w:ind w:left="0"/>
        <w:jc w:val="both"/>
        <w:rPr>
          <w:i/>
        </w:rPr>
      </w:pPr>
      <w:r w:rsidRPr="00E629A5">
        <w:rPr>
          <w:i/>
        </w:rPr>
        <w:t>ETFs issued on HK stocks</w:t>
      </w:r>
    </w:p>
    <w:p w:rsidR="001D5833" w:rsidRPr="00E629A5" w:rsidRDefault="001D5833" w:rsidP="001D5833">
      <w:pPr>
        <w:pStyle w:val="ListParagraph"/>
        <w:snapToGrid w:val="0"/>
        <w:spacing w:after="0"/>
        <w:ind w:left="0"/>
        <w:jc w:val="both"/>
        <w:rPr>
          <w: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5"/>
        <w:gridCol w:w="8492"/>
      </w:tblGrid>
      <w:tr w:rsidR="001D5833" w:rsidRPr="00E629A5" w:rsidTr="006306A6">
        <w:trPr>
          <w:tblCellSpacing w:w="15" w:type="dxa"/>
        </w:trPr>
        <w:tc>
          <w:tcPr>
            <w:tcW w:w="30" w:type="dxa"/>
            <w:hideMark/>
          </w:tcPr>
          <w:p w:rsidR="001D5833" w:rsidRPr="00E629A5" w:rsidRDefault="001D5833" w:rsidP="006306A6">
            <w:pPr>
              <w:pStyle w:val="ListParagraph"/>
              <w:snapToGrid w:val="0"/>
              <w:jc w:val="both"/>
            </w:pPr>
            <w:r w:rsidRPr="00E629A5">
              <w:fldChar w:fldCharType="begin"/>
            </w:r>
            <w:r w:rsidRPr="00E629A5">
              <w:instrText xml:space="preserve"> INCLUDEPICTURE "http://www.hkex.com.hk/SiteCollectionImages/list_dot_red.gif" \* MERGEFORMATINET </w:instrText>
            </w:r>
            <w:r w:rsidRPr="00E629A5">
              <w:fldChar w:fldCharType="separate"/>
            </w:r>
            <w:r w:rsidR="00D737FE">
              <w:fldChar w:fldCharType="begin"/>
            </w:r>
            <w:r w:rsidR="00D737FE">
              <w:instrText xml:space="preserve"> INCLUDEPICTURE  "http://www.hkex.com.hk/SiteCollectionImages/list_dot_red.gif" \* MERGEFORMATINET </w:instrText>
            </w:r>
            <w:r w:rsidR="00D737FE">
              <w:fldChar w:fldCharType="separate"/>
            </w:r>
            <w:r w:rsidR="00B75310">
              <w:fldChar w:fldCharType="begin"/>
            </w:r>
            <w:r w:rsidR="00B75310">
              <w:instrText xml:space="preserve"> INCLUDEPICTURE  "http://www.hkex.com.hk/SiteCollectionImages/list_dot_red.gif" \* MERGEFORMATINET </w:instrText>
            </w:r>
            <w:r w:rsidR="00B75310">
              <w:fldChar w:fldCharType="separate"/>
            </w:r>
            <w:r w:rsidR="003020E6">
              <w:fldChar w:fldCharType="begin"/>
            </w:r>
            <w:r w:rsidR="003020E6">
              <w:instrText xml:space="preserve"> INCLUDEPICTURE  "http://www.hkex.com.hk/SiteCollectionImages/list_dot_red.gif" \* MERGEFORMATINET </w:instrText>
            </w:r>
            <w:r w:rsidR="003020E6">
              <w:fldChar w:fldCharType="separate"/>
            </w:r>
            <w:r w:rsidR="00A7510E">
              <w:fldChar w:fldCharType="begin"/>
            </w:r>
            <w:r w:rsidR="00A7510E">
              <w:instrText xml:space="preserve"> INCLUDEPICTURE  "http://www.hkex.com.hk/SiteCollectionImages/list_dot_red.gif" \* MERGEFORMATINET </w:instrText>
            </w:r>
            <w:r w:rsidR="00A7510E">
              <w:fldChar w:fldCharType="separate"/>
            </w:r>
            <w:r w:rsidR="00211372">
              <w:fldChar w:fldCharType="begin"/>
            </w:r>
            <w:r w:rsidR="00211372">
              <w:instrText xml:space="preserve"> INCLUDEPICTURE  "http://www.hkex.com.hk/SiteCollectionImages/list_dot_red.gif" \* MERGEFORMATINET </w:instrText>
            </w:r>
            <w:r w:rsidR="00211372">
              <w:fldChar w:fldCharType="separate"/>
            </w:r>
            <w:r w:rsidR="00636CEF">
              <w:fldChar w:fldCharType="begin"/>
            </w:r>
            <w:r w:rsidR="00636CEF">
              <w:instrText xml:space="preserve"> INCLUDEPICTURE  "http://www.hkex.com.hk/SiteCollectionImages/list_dot_red.gif" \* MERGEFORMATINET </w:instrText>
            </w:r>
            <w:r w:rsidR="00636CEF">
              <w:fldChar w:fldCharType="separate"/>
            </w:r>
            <w:r w:rsidR="007A4313">
              <w:fldChar w:fldCharType="begin"/>
            </w:r>
            <w:r w:rsidR="007A4313">
              <w:instrText xml:space="preserve"> </w:instrText>
            </w:r>
            <w:r w:rsidR="007A4313">
              <w:instrText>INCLUDEPICTURE  "http://www.hkex.com.hk/SiteCollectionImages/list_dot_red.gif" \* MERGEFORMATINET</w:instrText>
            </w:r>
            <w:r w:rsidR="007A4313">
              <w:instrText xml:space="preserve"> </w:instrText>
            </w:r>
            <w:r w:rsidR="007A4313">
              <w:fldChar w:fldCharType="separate"/>
            </w:r>
            <w:r w:rsidR="007A4313">
              <w:pict>
                <v:shape id="_x0000_i1026" type="#_x0000_t75" style="width:10.2pt;height:7.45pt">
                  <v:imagedata r:id="rId11" r:href="rId13"/>
                </v:shape>
              </w:pict>
            </w:r>
            <w:r w:rsidR="007A4313">
              <w:fldChar w:fldCharType="end"/>
            </w:r>
            <w:r w:rsidR="00636CEF">
              <w:fldChar w:fldCharType="end"/>
            </w:r>
            <w:r w:rsidR="00211372">
              <w:fldChar w:fldCharType="end"/>
            </w:r>
            <w:r w:rsidR="00A7510E">
              <w:fldChar w:fldCharType="end"/>
            </w:r>
            <w:r w:rsidR="003020E6">
              <w:fldChar w:fldCharType="end"/>
            </w:r>
            <w:r w:rsidR="00B75310">
              <w:fldChar w:fldCharType="end"/>
            </w:r>
            <w:r w:rsidR="00D737FE">
              <w:fldChar w:fldCharType="end"/>
            </w:r>
            <w:r w:rsidRPr="00E629A5">
              <w:fldChar w:fldCharType="end"/>
            </w:r>
          </w:p>
        </w:tc>
        <w:tc>
          <w:tcPr>
            <w:tcW w:w="0" w:type="auto"/>
            <w:hideMark/>
          </w:tcPr>
          <w:p w:rsidR="001D5833" w:rsidRPr="00E629A5" w:rsidRDefault="001D5833" w:rsidP="006306A6">
            <w:pPr>
              <w:pStyle w:val="ListParagraph"/>
              <w:snapToGrid w:val="0"/>
              <w:spacing w:after="0"/>
              <w:jc w:val="both"/>
            </w:pPr>
            <w:r w:rsidRPr="00E629A5">
              <w:t xml:space="preserve">HKCAS can act as the ETF’s conversion agent.  ETF managers can make use of CCASS to facilitate the settlement of unit creation and redemption instructions submitted by </w:t>
            </w:r>
            <w:r>
              <w:t>PDs</w:t>
            </w:r>
            <w:r w:rsidRPr="00E629A5">
              <w:t>.</w:t>
            </w:r>
          </w:p>
        </w:tc>
      </w:tr>
      <w:tr w:rsidR="001D5833" w:rsidRPr="00E629A5" w:rsidTr="006306A6">
        <w:trPr>
          <w:tblCellSpacing w:w="15" w:type="dxa"/>
        </w:trPr>
        <w:tc>
          <w:tcPr>
            <w:tcW w:w="30" w:type="dxa"/>
            <w:hideMark/>
          </w:tcPr>
          <w:p w:rsidR="001D5833" w:rsidRPr="00E629A5" w:rsidRDefault="001D5833" w:rsidP="006306A6">
            <w:pPr>
              <w:pStyle w:val="ListParagraph"/>
              <w:snapToGrid w:val="0"/>
              <w:jc w:val="both"/>
            </w:pPr>
            <w:r w:rsidRPr="00E629A5">
              <w:fldChar w:fldCharType="begin"/>
            </w:r>
            <w:r w:rsidRPr="00E629A5">
              <w:instrText xml:space="preserve"> INCLUDEPICTURE "http://www.hkex.com.hk/SiteCollectionImages/list_dot_red.gif" \* MERGEFORMATINET </w:instrText>
            </w:r>
            <w:r w:rsidRPr="00E629A5">
              <w:fldChar w:fldCharType="separate"/>
            </w:r>
            <w:r w:rsidR="00D737FE">
              <w:fldChar w:fldCharType="begin"/>
            </w:r>
            <w:r w:rsidR="00D737FE">
              <w:instrText xml:space="preserve"> INCLUDEPICTURE  "http://www.hkex.com.hk/SiteCollectionImages/list_dot_red.gif" \* MERGEFORMATINET </w:instrText>
            </w:r>
            <w:r w:rsidR="00D737FE">
              <w:fldChar w:fldCharType="separate"/>
            </w:r>
            <w:r w:rsidR="00B75310">
              <w:fldChar w:fldCharType="begin"/>
            </w:r>
            <w:r w:rsidR="00B75310">
              <w:instrText xml:space="preserve"> INCLUDEPICTURE  "http://www.hkex.com.hk/SiteCollectionImages/list_dot_red.gif" \* MERGEFORMATINET </w:instrText>
            </w:r>
            <w:r w:rsidR="00B75310">
              <w:fldChar w:fldCharType="separate"/>
            </w:r>
            <w:r w:rsidR="003020E6">
              <w:fldChar w:fldCharType="begin"/>
            </w:r>
            <w:r w:rsidR="003020E6">
              <w:instrText xml:space="preserve"> INCLUDEPICTURE  "http://www.hkex.com.hk/SiteCollectionImages/list_dot_red.gif" \* MERGEFORMATINET </w:instrText>
            </w:r>
            <w:r w:rsidR="003020E6">
              <w:fldChar w:fldCharType="separate"/>
            </w:r>
            <w:r w:rsidR="00A7510E">
              <w:fldChar w:fldCharType="begin"/>
            </w:r>
            <w:r w:rsidR="00A7510E">
              <w:instrText xml:space="preserve"> INCLUDEPICTURE  "http://www.hkex.com.hk/SiteCollectionImages/list_dot_red.gif" \* MERGEFORMATINET </w:instrText>
            </w:r>
            <w:r w:rsidR="00A7510E">
              <w:fldChar w:fldCharType="separate"/>
            </w:r>
            <w:r w:rsidR="00211372">
              <w:fldChar w:fldCharType="begin"/>
            </w:r>
            <w:r w:rsidR="00211372">
              <w:instrText xml:space="preserve"> INCLUDEPICTURE  "http://www.hkex.com.hk/SiteCollectionImages/list_dot_red.gif" \* MERGEFORMATINET </w:instrText>
            </w:r>
            <w:r w:rsidR="00211372">
              <w:fldChar w:fldCharType="separate"/>
            </w:r>
            <w:r w:rsidR="00636CEF">
              <w:fldChar w:fldCharType="begin"/>
            </w:r>
            <w:r w:rsidR="00636CEF">
              <w:instrText xml:space="preserve"> INCLUDEPICTURE  "http://www.hkex.com.hk/SiteCollectionImages/list_dot_red.gif" \* MERGEFORMATINET </w:instrText>
            </w:r>
            <w:r w:rsidR="00636CEF">
              <w:fldChar w:fldCharType="separate"/>
            </w:r>
            <w:r w:rsidR="007A4313">
              <w:fldChar w:fldCharType="begin"/>
            </w:r>
            <w:r w:rsidR="007A4313">
              <w:instrText xml:space="preserve"> </w:instrText>
            </w:r>
            <w:r w:rsidR="007A4313">
              <w:instrText>INCLUDEPICTURE  "http://www.hkex.com.hk/SiteCollectionImages/list_dot_red.gif" \* MERGEFORMATINET</w:instrText>
            </w:r>
            <w:r w:rsidR="007A4313">
              <w:instrText xml:space="preserve"> </w:instrText>
            </w:r>
            <w:r w:rsidR="007A4313">
              <w:fldChar w:fldCharType="separate"/>
            </w:r>
            <w:r w:rsidR="007A4313">
              <w:pict>
                <v:shape id="_x0000_i1027" type="#_x0000_t75" style="width:10.2pt;height:7.45pt">
                  <v:imagedata r:id="rId11" r:href="rId14"/>
                </v:shape>
              </w:pict>
            </w:r>
            <w:r w:rsidR="007A4313">
              <w:fldChar w:fldCharType="end"/>
            </w:r>
            <w:r w:rsidR="00636CEF">
              <w:fldChar w:fldCharType="end"/>
            </w:r>
            <w:r w:rsidR="00211372">
              <w:fldChar w:fldCharType="end"/>
            </w:r>
            <w:r w:rsidR="00A7510E">
              <w:fldChar w:fldCharType="end"/>
            </w:r>
            <w:r w:rsidR="003020E6">
              <w:fldChar w:fldCharType="end"/>
            </w:r>
            <w:r w:rsidR="00B75310">
              <w:fldChar w:fldCharType="end"/>
            </w:r>
            <w:r w:rsidR="00D737FE">
              <w:fldChar w:fldCharType="end"/>
            </w:r>
            <w:r w:rsidRPr="00E629A5">
              <w:fldChar w:fldCharType="end"/>
            </w:r>
          </w:p>
        </w:tc>
        <w:tc>
          <w:tcPr>
            <w:tcW w:w="0" w:type="auto"/>
            <w:hideMark/>
          </w:tcPr>
          <w:p w:rsidR="001D5833" w:rsidRPr="00E629A5" w:rsidRDefault="001D5833" w:rsidP="006306A6">
            <w:pPr>
              <w:pStyle w:val="ListParagraph"/>
              <w:snapToGrid w:val="0"/>
              <w:spacing w:after="0"/>
              <w:jc w:val="both"/>
            </w:pPr>
            <w:r w:rsidRPr="00E629A5">
              <w:t>A participation agreement (signed by the ETF manager, trustee, PD, HKSCC and HKCAS) and a conversion agency agreement (signed by the ETF manager, HKSCC and HKCAS) are required</w:t>
            </w:r>
            <w:r>
              <w:t>.</w:t>
            </w:r>
          </w:p>
        </w:tc>
      </w:tr>
      <w:tr w:rsidR="001D5833" w:rsidRPr="00E629A5" w:rsidTr="006306A6">
        <w:trPr>
          <w:tblCellSpacing w:w="15" w:type="dxa"/>
        </w:trPr>
        <w:tc>
          <w:tcPr>
            <w:tcW w:w="30" w:type="dxa"/>
            <w:hideMark/>
          </w:tcPr>
          <w:p w:rsidR="001D5833" w:rsidRPr="00E629A5" w:rsidRDefault="001D5833" w:rsidP="006306A6">
            <w:pPr>
              <w:pStyle w:val="ListParagraph"/>
              <w:snapToGrid w:val="0"/>
              <w:jc w:val="both"/>
            </w:pPr>
            <w:r w:rsidRPr="00E629A5">
              <w:fldChar w:fldCharType="begin"/>
            </w:r>
            <w:r w:rsidRPr="00E629A5">
              <w:instrText xml:space="preserve"> INCLUDEPICTURE "http://www.hkex.com.hk/SiteCollectionImages/list_dot_red.gif" \* MERGEFORMATINET </w:instrText>
            </w:r>
            <w:r w:rsidRPr="00E629A5">
              <w:fldChar w:fldCharType="separate"/>
            </w:r>
            <w:r w:rsidR="00D737FE">
              <w:fldChar w:fldCharType="begin"/>
            </w:r>
            <w:r w:rsidR="00D737FE">
              <w:instrText xml:space="preserve"> INCLUDEPICTURE  "http://www.hkex.com.hk/SiteCollectionImages/list_dot_red.gif" \* MERGEFORMATINET </w:instrText>
            </w:r>
            <w:r w:rsidR="00D737FE">
              <w:fldChar w:fldCharType="separate"/>
            </w:r>
            <w:r w:rsidR="00B75310">
              <w:fldChar w:fldCharType="begin"/>
            </w:r>
            <w:r w:rsidR="00B75310">
              <w:instrText xml:space="preserve"> INCLUDEPICTURE  "http://www.hkex.com.hk/SiteCollectionImages/list_dot_red.gif" \* MERGEFORMATINET </w:instrText>
            </w:r>
            <w:r w:rsidR="00B75310">
              <w:fldChar w:fldCharType="separate"/>
            </w:r>
            <w:r w:rsidR="003020E6">
              <w:fldChar w:fldCharType="begin"/>
            </w:r>
            <w:r w:rsidR="003020E6">
              <w:instrText xml:space="preserve"> INCLUDEPICTURE  "http://www.hkex.com.hk/SiteCollectionImages/list_dot_red.gif" \* MERGEFORMATINET </w:instrText>
            </w:r>
            <w:r w:rsidR="003020E6">
              <w:fldChar w:fldCharType="separate"/>
            </w:r>
            <w:r w:rsidR="00A7510E">
              <w:fldChar w:fldCharType="begin"/>
            </w:r>
            <w:r w:rsidR="00A7510E">
              <w:instrText xml:space="preserve"> INCLUDEPICTURE  "http://www.hkex.com.hk/SiteCollectionImages/list_dot_red.gif" \* MERGEFORMATINET </w:instrText>
            </w:r>
            <w:r w:rsidR="00A7510E">
              <w:fldChar w:fldCharType="separate"/>
            </w:r>
            <w:r w:rsidR="00211372">
              <w:fldChar w:fldCharType="begin"/>
            </w:r>
            <w:r w:rsidR="00211372">
              <w:instrText xml:space="preserve"> INCLUDEPICTURE  "http://www.hkex.com.hk/SiteCollectionImages/list_dot_red.gif" \* MERGEFORMATINET </w:instrText>
            </w:r>
            <w:r w:rsidR="00211372">
              <w:fldChar w:fldCharType="separate"/>
            </w:r>
            <w:r w:rsidR="00636CEF">
              <w:fldChar w:fldCharType="begin"/>
            </w:r>
            <w:r w:rsidR="00636CEF">
              <w:instrText xml:space="preserve"> INCLUDEPICTURE  "http://www.hkex.com.hk/SiteCollectionImages/list_dot_red.gif" \* MERGEFORMATINET </w:instrText>
            </w:r>
            <w:r w:rsidR="00636CEF">
              <w:fldChar w:fldCharType="separate"/>
            </w:r>
            <w:r w:rsidR="007A4313">
              <w:fldChar w:fldCharType="begin"/>
            </w:r>
            <w:r w:rsidR="007A4313">
              <w:instrText xml:space="preserve"> </w:instrText>
            </w:r>
            <w:r w:rsidR="007A4313">
              <w:instrText>INCLUDEPICTURE  "http://www.hkex.com.hk/SiteCollectionImages/list_dot_red.gif" \* MERGEFORMATINET</w:instrText>
            </w:r>
            <w:r w:rsidR="007A4313">
              <w:instrText xml:space="preserve"> </w:instrText>
            </w:r>
            <w:r w:rsidR="007A4313">
              <w:fldChar w:fldCharType="separate"/>
            </w:r>
            <w:r w:rsidR="007A4313">
              <w:pict>
                <v:shape id="_x0000_i1028" type="#_x0000_t75" style="width:10.2pt;height:7.45pt">
                  <v:imagedata r:id="rId11" r:href="rId15"/>
                </v:shape>
              </w:pict>
            </w:r>
            <w:r w:rsidR="007A4313">
              <w:fldChar w:fldCharType="end"/>
            </w:r>
            <w:r w:rsidR="00636CEF">
              <w:fldChar w:fldCharType="end"/>
            </w:r>
            <w:r w:rsidR="00211372">
              <w:fldChar w:fldCharType="end"/>
            </w:r>
            <w:r w:rsidR="00A7510E">
              <w:fldChar w:fldCharType="end"/>
            </w:r>
            <w:r w:rsidR="003020E6">
              <w:fldChar w:fldCharType="end"/>
            </w:r>
            <w:r w:rsidR="00B75310">
              <w:fldChar w:fldCharType="end"/>
            </w:r>
            <w:r w:rsidR="00D737FE">
              <w:fldChar w:fldCharType="end"/>
            </w:r>
            <w:r w:rsidRPr="00E629A5">
              <w:fldChar w:fldCharType="end"/>
            </w:r>
          </w:p>
        </w:tc>
        <w:tc>
          <w:tcPr>
            <w:tcW w:w="0" w:type="auto"/>
            <w:hideMark/>
          </w:tcPr>
          <w:p w:rsidR="001D5833" w:rsidRPr="00E629A5" w:rsidRDefault="001D5833" w:rsidP="006306A6">
            <w:pPr>
              <w:pStyle w:val="ListParagraph"/>
              <w:snapToGrid w:val="0"/>
              <w:spacing w:after="0"/>
              <w:jc w:val="both"/>
            </w:pPr>
            <w:r w:rsidRPr="00E629A5">
              <w:t xml:space="preserve">Potential ETF managers are advised to contact </w:t>
            </w:r>
            <w:proofErr w:type="spellStart"/>
            <w:r w:rsidRPr="00E629A5">
              <w:t>HKEx’s</w:t>
            </w:r>
            <w:proofErr w:type="spellEnd"/>
            <w:r w:rsidRPr="00E629A5">
              <w:t xml:space="preserve"> Clearing Division as early as possible in parallel with the process of seeking SFC authori</w:t>
            </w:r>
            <w:r>
              <w:t>s</w:t>
            </w:r>
            <w:r w:rsidRPr="00E629A5">
              <w:t>ation.</w:t>
            </w:r>
          </w:p>
        </w:tc>
      </w:tr>
    </w:tbl>
    <w:p w:rsidR="001D5833" w:rsidRPr="00E629A5" w:rsidRDefault="001D5833" w:rsidP="001D5833">
      <w:pPr>
        <w:pStyle w:val="ListParagraph"/>
        <w:snapToGrid w:val="0"/>
        <w:spacing w:after="0"/>
        <w:jc w:val="both"/>
      </w:pPr>
      <w:r w:rsidRPr="00E629A5">
        <w:t> </w:t>
      </w:r>
    </w:p>
    <w:p w:rsidR="001D5833" w:rsidRPr="00E629A5" w:rsidRDefault="001D5833" w:rsidP="001D5833">
      <w:pPr>
        <w:pStyle w:val="ListParagraph"/>
        <w:snapToGrid w:val="0"/>
        <w:spacing w:after="0"/>
        <w:ind w:left="0"/>
        <w:jc w:val="both"/>
        <w:rPr>
          <w:u w:val="single"/>
        </w:rPr>
      </w:pPr>
      <w:r w:rsidRPr="00E629A5">
        <w:rPr>
          <w:u w:val="single"/>
        </w:rPr>
        <w:t>Fees required</w:t>
      </w:r>
    </w:p>
    <w:p w:rsidR="001D5833" w:rsidRPr="00E629A5" w:rsidRDefault="001D5833" w:rsidP="001D5833">
      <w:pPr>
        <w:pStyle w:val="ListParagraph"/>
        <w:snapToGrid w:val="0"/>
        <w:spacing w:after="0"/>
        <w:jc w:val="both"/>
      </w:pPr>
      <w:r w:rsidRPr="00E629A5">
        <w:lastRenderedPageBreak/>
        <w:t> </w:t>
      </w:r>
    </w:p>
    <w:p w:rsidR="001D5833" w:rsidRDefault="001D5833" w:rsidP="001D5833">
      <w:pPr>
        <w:pStyle w:val="ListParagraph"/>
        <w:snapToGrid w:val="0"/>
        <w:spacing w:after="0"/>
        <w:ind w:left="0"/>
        <w:jc w:val="both"/>
      </w:pPr>
      <w:r w:rsidRPr="00E629A5">
        <w:t>Fees charged by HK</w:t>
      </w:r>
      <w:r>
        <w:t>SE</w:t>
      </w:r>
      <w:r w:rsidRPr="00E629A5">
        <w:t xml:space="preserve"> relating to the listing of ETFs include the following:</w:t>
      </w:r>
    </w:p>
    <w:p w:rsidR="001D5833" w:rsidRPr="00E629A5" w:rsidRDefault="001D5833" w:rsidP="001D5833">
      <w:pPr>
        <w:pStyle w:val="ListParagraph"/>
        <w:snapToGrid w:val="0"/>
        <w:spacing w:after="0"/>
        <w:ind w:left="0"/>
        <w:jc w:val="both"/>
      </w:pPr>
    </w:p>
    <w:tbl>
      <w:tblPr>
        <w:tblW w:w="5000" w:type="pct"/>
        <w:tblCellSpacing w:w="15" w:type="dxa"/>
        <w:tblCellMar>
          <w:left w:w="0" w:type="dxa"/>
          <w:right w:w="0" w:type="dxa"/>
        </w:tblCellMar>
        <w:tblLook w:val="04A0" w:firstRow="1" w:lastRow="0" w:firstColumn="1" w:lastColumn="0" w:noHBand="0" w:noVBand="1"/>
      </w:tblPr>
      <w:tblGrid>
        <w:gridCol w:w="975"/>
        <w:gridCol w:w="8522"/>
      </w:tblGrid>
      <w:tr w:rsidR="001D5833" w:rsidRPr="00E629A5" w:rsidTr="006306A6">
        <w:trPr>
          <w:tblCellSpacing w:w="15" w:type="dxa"/>
        </w:trPr>
        <w:tc>
          <w:tcPr>
            <w:tcW w:w="30" w:type="dxa"/>
            <w:shd w:val="clear" w:color="auto" w:fill="FFFFFF"/>
            <w:tcMar>
              <w:top w:w="30" w:type="dxa"/>
              <w:left w:w="0" w:type="dxa"/>
              <w:bottom w:w="30" w:type="dxa"/>
              <w:right w:w="0" w:type="dxa"/>
            </w:tcMar>
            <w:hideMark/>
          </w:tcPr>
          <w:p w:rsidR="001D5833" w:rsidRPr="00E629A5" w:rsidRDefault="001D5833" w:rsidP="006306A6">
            <w:pPr>
              <w:pStyle w:val="ListParagraph"/>
              <w:snapToGrid w:val="0"/>
              <w:jc w:val="both"/>
            </w:pPr>
            <w:r w:rsidRPr="00E629A5">
              <w:fldChar w:fldCharType="begin"/>
            </w:r>
            <w:r w:rsidRPr="00E629A5">
              <w:instrText xml:space="preserve"> INCLUDEPICTURE "http://www.hkex.com.hk/SiteCollectionImages/list_dot_red.gif" \* MERGEFORMATINET </w:instrText>
            </w:r>
            <w:r w:rsidRPr="00E629A5">
              <w:fldChar w:fldCharType="separate"/>
            </w:r>
            <w:r w:rsidR="00D737FE">
              <w:fldChar w:fldCharType="begin"/>
            </w:r>
            <w:r w:rsidR="00D737FE">
              <w:instrText xml:space="preserve"> INCLUDEPICTURE  "http://www.hkex.com.hk/SiteCollectionImages/list_dot_red.gif" \* MERGEFORMATINET </w:instrText>
            </w:r>
            <w:r w:rsidR="00D737FE">
              <w:fldChar w:fldCharType="separate"/>
            </w:r>
            <w:r w:rsidR="00B75310">
              <w:fldChar w:fldCharType="begin"/>
            </w:r>
            <w:r w:rsidR="00B75310">
              <w:instrText xml:space="preserve"> INCLUDEPICTURE  "http://www.hkex.com.hk/SiteCollectionImages/list_dot_red.gif" \* MERGEFORMATINET </w:instrText>
            </w:r>
            <w:r w:rsidR="00B75310">
              <w:fldChar w:fldCharType="separate"/>
            </w:r>
            <w:r w:rsidR="003020E6">
              <w:fldChar w:fldCharType="begin"/>
            </w:r>
            <w:r w:rsidR="003020E6">
              <w:instrText xml:space="preserve"> INCLUDEPICTURE  "http://www.hkex.com.hk/SiteCollectionImages/list_dot_red.gif" \* MERGEFORMATINET </w:instrText>
            </w:r>
            <w:r w:rsidR="003020E6">
              <w:fldChar w:fldCharType="separate"/>
            </w:r>
            <w:r w:rsidR="00A7510E">
              <w:fldChar w:fldCharType="begin"/>
            </w:r>
            <w:r w:rsidR="00A7510E">
              <w:instrText xml:space="preserve"> INCLUDEPICTURE  "http://www.hkex.com.hk/SiteCollectionImages/list_dot_red.gif" \* MERGEFORMATINET </w:instrText>
            </w:r>
            <w:r w:rsidR="00A7510E">
              <w:fldChar w:fldCharType="separate"/>
            </w:r>
            <w:r w:rsidR="00211372">
              <w:fldChar w:fldCharType="begin"/>
            </w:r>
            <w:r w:rsidR="00211372">
              <w:instrText xml:space="preserve"> INCLUDEPICTURE  "http://www.hkex.com.hk/SiteCollectionImages/list_dot_red.gif" \* MERGEFORMATINET </w:instrText>
            </w:r>
            <w:r w:rsidR="00211372">
              <w:fldChar w:fldCharType="separate"/>
            </w:r>
            <w:r w:rsidR="00636CEF">
              <w:fldChar w:fldCharType="begin"/>
            </w:r>
            <w:r w:rsidR="00636CEF">
              <w:instrText xml:space="preserve"> INCLUDEPICTURE  "http://www.hkex.com.hk/SiteCollectionImages/list_dot_red.gif" \* MERGEFORMATINET </w:instrText>
            </w:r>
            <w:r w:rsidR="00636CEF">
              <w:fldChar w:fldCharType="separate"/>
            </w:r>
            <w:r w:rsidR="007A4313">
              <w:fldChar w:fldCharType="begin"/>
            </w:r>
            <w:r w:rsidR="007A4313">
              <w:instrText xml:space="preserve"> </w:instrText>
            </w:r>
            <w:r w:rsidR="007A4313">
              <w:instrText>INCLUDEPICTURE  "http://www.hkex.com.hk/SiteCollectionImages/list_dot_red.gif" \* MERGEFORMATINET</w:instrText>
            </w:r>
            <w:r w:rsidR="007A4313">
              <w:instrText xml:space="preserve"> </w:instrText>
            </w:r>
            <w:r w:rsidR="007A4313">
              <w:fldChar w:fldCharType="separate"/>
            </w:r>
            <w:r w:rsidR="007A4313">
              <w:pict>
                <v:shape id="_x0000_i1029" type="#_x0000_t75" style="width:10.2pt;height:7.45pt">
                  <v:imagedata r:id="rId11" r:href="rId16"/>
                </v:shape>
              </w:pict>
            </w:r>
            <w:r w:rsidR="007A4313">
              <w:fldChar w:fldCharType="end"/>
            </w:r>
            <w:r w:rsidR="00636CEF">
              <w:fldChar w:fldCharType="end"/>
            </w:r>
            <w:r w:rsidR="00211372">
              <w:fldChar w:fldCharType="end"/>
            </w:r>
            <w:r w:rsidR="00A7510E">
              <w:fldChar w:fldCharType="end"/>
            </w:r>
            <w:r w:rsidR="003020E6">
              <w:fldChar w:fldCharType="end"/>
            </w:r>
            <w:r w:rsidR="00B75310">
              <w:fldChar w:fldCharType="end"/>
            </w:r>
            <w:r w:rsidR="00D737FE">
              <w:fldChar w:fldCharType="end"/>
            </w:r>
            <w:r w:rsidRPr="00E629A5">
              <w:fldChar w:fldCharType="end"/>
            </w:r>
          </w:p>
        </w:tc>
        <w:tc>
          <w:tcPr>
            <w:tcW w:w="0" w:type="auto"/>
            <w:shd w:val="clear" w:color="auto" w:fill="FFFFFF"/>
            <w:tcMar>
              <w:top w:w="30" w:type="dxa"/>
              <w:left w:w="0" w:type="dxa"/>
              <w:bottom w:w="30" w:type="dxa"/>
              <w:right w:w="0" w:type="dxa"/>
            </w:tcMar>
            <w:hideMark/>
          </w:tcPr>
          <w:p w:rsidR="001D5833" w:rsidRPr="00E629A5" w:rsidRDefault="001D5833" w:rsidP="006306A6">
            <w:pPr>
              <w:pStyle w:val="ListParagraph"/>
              <w:snapToGrid w:val="0"/>
              <w:spacing w:after="0"/>
              <w:jc w:val="both"/>
            </w:pPr>
            <w:r w:rsidRPr="00E629A5">
              <w:t>Initial Listing Fee: HK$20,000</w:t>
            </w:r>
          </w:p>
        </w:tc>
      </w:tr>
      <w:tr w:rsidR="001D5833" w:rsidRPr="00E629A5" w:rsidTr="006306A6">
        <w:trPr>
          <w:tblCellSpacing w:w="15" w:type="dxa"/>
        </w:trPr>
        <w:tc>
          <w:tcPr>
            <w:tcW w:w="30" w:type="dxa"/>
            <w:shd w:val="clear" w:color="auto" w:fill="FFFFFF"/>
            <w:tcMar>
              <w:top w:w="30" w:type="dxa"/>
              <w:left w:w="0" w:type="dxa"/>
              <w:bottom w:w="30" w:type="dxa"/>
              <w:right w:w="0" w:type="dxa"/>
            </w:tcMar>
            <w:hideMark/>
          </w:tcPr>
          <w:p w:rsidR="001D5833" w:rsidRPr="00E629A5" w:rsidRDefault="001D5833" w:rsidP="006306A6">
            <w:pPr>
              <w:pStyle w:val="ListParagraph"/>
              <w:snapToGrid w:val="0"/>
              <w:jc w:val="both"/>
            </w:pPr>
            <w:r w:rsidRPr="00E629A5">
              <w:fldChar w:fldCharType="begin"/>
            </w:r>
            <w:r w:rsidRPr="00E629A5">
              <w:instrText xml:space="preserve"> INCLUDEPICTURE "http://www.hkex.com.hk/SiteCollectionImages/list_dot_red.gif" \* MERGEFORMATINET </w:instrText>
            </w:r>
            <w:r w:rsidRPr="00E629A5">
              <w:fldChar w:fldCharType="separate"/>
            </w:r>
            <w:r w:rsidR="00D737FE">
              <w:fldChar w:fldCharType="begin"/>
            </w:r>
            <w:r w:rsidR="00D737FE">
              <w:instrText xml:space="preserve"> INCLUDEPICTURE  "http://www.hkex.com.hk/SiteCollectionImages/list_dot_red.gif" \* MERGEFORMATINET </w:instrText>
            </w:r>
            <w:r w:rsidR="00D737FE">
              <w:fldChar w:fldCharType="separate"/>
            </w:r>
            <w:r w:rsidR="00B75310">
              <w:fldChar w:fldCharType="begin"/>
            </w:r>
            <w:r w:rsidR="00B75310">
              <w:instrText xml:space="preserve"> INCLUDEPICTURE  "http://www.hkex.com.hk/SiteCollectionImages/list_dot_red.gif" \* MERGEFORMATINET </w:instrText>
            </w:r>
            <w:r w:rsidR="00B75310">
              <w:fldChar w:fldCharType="separate"/>
            </w:r>
            <w:r w:rsidR="003020E6">
              <w:fldChar w:fldCharType="begin"/>
            </w:r>
            <w:r w:rsidR="003020E6">
              <w:instrText xml:space="preserve"> INCLUDEPICTURE  "http://www.hkex.com.hk/SiteCollectionImages/list_dot_red.gif" \* MERGEFORMATINET </w:instrText>
            </w:r>
            <w:r w:rsidR="003020E6">
              <w:fldChar w:fldCharType="separate"/>
            </w:r>
            <w:r w:rsidR="00A7510E">
              <w:fldChar w:fldCharType="begin"/>
            </w:r>
            <w:r w:rsidR="00A7510E">
              <w:instrText xml:space="preserve"> INCLUDEPICTURE  "http://www.hkex.com.hk/SiteCollectionImages/list_dot_red.gif" \* MERGEFORMATINET </w:instrText>
            </w:r>
            <w:r w:rsidR="00A7510E">
              <w:fldChar w:fldCharType="separate"/>
            </w:r>
            <w:r w:rsidR="00211372">
              <w:fldChar w:fldCharType="begin"/>
            </w:r>
            <w:r w:rsidR="00211372">
              <w:instrText xml:space="preserve"> INCLUDEPICTURE  "http://www.hkex.com.hk/SiteCollectionImages/list_dot_red.gif" \* MERGEFORMATINET </w:instrText>
            </w:r>
            <w:r w:rsidR="00211372">
              <w:fldChar w:fldCharType="separate"/>
            </w:r>
            <w:r w:rsidR="00636CEF">
              <w:fldChar w:fldCharType="begin"/>
            </w:r>
            <w:r w:rsidR="00636CEF">
              <w:instrText xml:space="preserve"> INCLUDEPICTURE  "http://www.hkex.com.hk/SiteCollectionImages/list_dot_red.gif" \* MERGEFORMATINET </w:instrText>
            </w:r>
            <w:r w:rsidR="00636CEF">
              <w:fldChar w:fldCharType="separate"/>
            </w:r>
            <w:r w:rsidR="007A4313">
              <w:fldChar w:fldCharType="begin"/>
            </w:r>
            <w:r w:rsidR="007A4313">
              <w:instrText xml:space="preserve"> </w:instrText>
            </w:r>
            <w:r w:rsidR="007A4313">
              <w:instrText xml:space="preserve">INCLUDEPICTURE  </w:instrText>
            </w:r>
            <w:r w:rsidR="007A4313">
              <w:instrText>"http://www.hkex.com.hk/SiteCollectionImages/list_dot_red.gif" \* MERGEFORMATINET</w:instrText>
            </w:r>
            <w:r w:rsidR="007A4313">
              <w:instrText xml:space="preserve"> </w:instrText>
            </w:r>
            <w:r w:rsidR="007A4313">
              <w:fldChar w:fldCharType="separate"/>
            </w:r>
            <w:r w:rsidR="007A4313">
              <w:pict>
                <v:shape id="_x0000_i1030" type="#_x0000_t75" style="width:10.2pt;height:7.45pt">
                  <v:imagedata r:id="rId11" r:href="rId17"/>
                </v:shape>
              </w:pict>
            </w:r>
            <w:r w:rsidR="007A4313">
              <w:fldChar w:fldCharType="end"/>
            </w:r>
            <w:r w:rsidR="00636CEF">
              <w:fldChar w:fldCharType="end"/>
            </w:r>
            <w:r w:rsidR="00211372">
              <w:fldChar w:fldCharType="end"/>
            </w:r>
            <w:r w:rsidR="00A7510E">
              <w:fldChar w:fldCharType="end"/>
            </w:r>
            <w:r w:rsidR="003020E6">
              <w:fldChar w:fldCharType="end"/>
            </w:r>
            <w:r w:rsidR="00B75310">
              <w:fldChar w:fldCharType="end"/>
            </w:r>
            <w:r w:rsidR="00D737FE">
              <w:fldChar w:fldCharType="end"/>
            </w:r>
            <w:r w:rsidRPr="00E629A5">
              <w:fldChar w:fldCharType="end"/>
            </w:r>
          </w:p>
        </w:tc>
        <w:tc>
          <w:tcPr>
            <w:tcW w:w="0" w:type="auto"/>
            <w:shd w:val="clear" w:color="auto" w:fill="FFFFFF"/>
            <w:tcMar>
              <w:top w:w="30" w:type="dxa"/>
              <w:left w:w="0" w:type="dxa"/>
              <w:bottom w:w="30" w:type="dxa"/>
              <w:right w:w="0" w:type="dxa"/>
            </w:tcMar>
            <w:hideMark/>
          </w:tcPr>
          <w:p w:rsidR="001D5833" w:rsidRPr="00E629A5" w:rsidRDefault="001D5833" w:rsidP="006306A6">
            <w:pPr>
              <w:pStyle w:val="ListParagraph"/>
              <w:snapToGrid w:val="0"/>
              <w:jc w:val="both"/>
            </w:pPr>
            <w:r w:rsidRPr="00E629A5">
              <w:t>Annual Fee: HK$15,000</w:t>
            </w:r>
          </w:p>
        </w:tc>
      </w:tr>
    </w:tbl>
    <w:p w:rsidR="001D5833" w:rsidRDefault="001D5833" w:rsidP="001D5833">
      <w:pPr>
        <w:pStyle w:val="ListParagraph"/>
        <w:snapToGrid w:val="0"/>
        <w:spacing w:after="0"/>
        <w:ind w:left="0"/>
        <w:jc w:val="both"/>
      </w:pPr>
    </w:p>
    <w:p w:rsidR="001D5833" w:rsidRPr="00E629A5" w:rsidRDefault="001D5833" w:rsidP="001D5833">
      <w:pPr>
        <w:pStyle w:val="ListParagraph"/>
        <w:snapToGrid w:val="0"/>
        <w:spacing w:after="0"/>
        <w:ind w:left="0"/>
        <w:jc w:val="both"/>
      </w:pPr>
      <w:r w:rsidRPr="00E629A5">
        <w:t>Fees charged by HKCAS as service agent and conversion agent:</w:t>
      </w:r>
    </w:p>
    <w:p w:rsidR="001D5833" w:rsidRDefault="001D5833" w:rsidP="001D5833">
      <w:pPr>
        <w:pStyle w:val="ListParagraph"/>
        <w:snapToGrid w:val="0"/>
        <w:spacing w:after="0"/>
        <w:ind w:left="0"/>
        <w:jc w:val="both"/>
      </w:pPr>
    </w:p>
    <w:p w:rsidR="001D5833" w:rsidRPr="00E629A5" w:rsidRDefault="001D5833" w:rsidP="001D5833">
      <w:pPr>
        <w:pStyle w:val="ListParagraph"/>
        <w:snapToGrid w:val="0"/>
        <w:spacing w:after="0"/>
        <w:ind w:left="0"/>
        <w:jc w:val="both"/>
      </w:pPr>
      <w:r w:rsidRPr="00E629A5">
        <w:t>Service agent: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5"/>
        <w:gridCol w:w="8492"/>
      </w:tblGrid>
      <w:tr w:rsidR="001D5833" w:rsidRPr="00E629A5" w:rsidTr="006306A6">
        <w:trPr>
          <w:tblCellSpacing w:w="15" w:type="dxa"/>
        </w:trPr>
        <w:tc>
          <w:tcPr>
            <w:tcW w:w="30" w:type="dxa"/>
            <w:hideMark/>
          </w:tcPr>
          <w:p w:rsidR="001D5833" w:rsidRPr="00E629A5" w:rsidRDefault="001D5833" w:rsidP="006306A6">
            <w:pPr>
              <w:pStyle w:val="ListParagraph"/>
              <w:snapToGrid w:val="0"/>
              <w:jc w:val="both"/>
            </w:pPr>
            <w:r w:rsidRPr="00E629A5">
              <w:fldChar w:fldCharType="begin"/>
            </w:r>
            <w:r w:rsidRPr="00E629A5">
              <w:instrText xml:space="preserve"> INCLUDEPICTURE "http://www.hkex.com.hk/SiteCollectionImages/list_dot_red.gif" \* MERGEFORMATINET </w:instrText>
            </w:r>
            <w:r w:rsidRPr="00E629A5">
              <w:fldChar w:fldCharType="separate"/>
            </w:r>
            <w:r w:rsidR="00D737FE">
              <w:fldChar w:fldCharType="begin"/>
            </w:r>
            <w:r w:rsidR="00D737FE">
              <w:instrText xml:space="preserve"> INCLUDEPICTURE  "http://www.hkex.com.hk/SiteCollectionImages/list_dot_red.gif" \* MERGEFORMATINET </w:instrText>
            </w:r>
            <w:r w:rsidR="00D737FE">
              <w:fldChar w:fldCharType="separate"/>
            </w:r>
            <w:r w:rsidR="00B75310">
              <w:fldChar w:fldCharType="begin"/>
            </w:r>
            <w:r w:rsidR="00B75310">
              <w:instrText xml:space="preserve"> INCLUDEPICTURE  "http://www.hkex.com.hk/SiteCollectionImages/list_dot_red.gif" \* MERGEFORMATINET </w:instrText>
            </w:r>
            <w:r w:rsidR="00B75310">
              <w:fldChar w:fldCharType="separate"/>
            </w:r>
            <w:r w:rsidR="003020E6">
              <w:fldChar w:fldCharType="begin"/>
            </w:r>
            <w:r w:rsidR="003020E6">
              <w:instrText xml:space="preserve"> INCLUDEPICTURE  "http://www.hkex.com.hk/SiteCollectionImages/list_dot_red.gif" \* MERGEFORMATINET </w:instrText>
            </w:r>
            <w:r w:rsidR="003020E6">
              <w:fldChar w:fldCharType="separate"/>
            </w:r>
            <w:r w:rsidR="00A7510E">
              <w:fldChar w:fldCharType="begin"/>
            </w:r>
            <w:r w:rsidR="00A7510E">
              <w:instrText xml:space="preserve"> INCLUDEPICTURE  "http://www.hkex.com.hk/SiteCollectionImages/list_dot_red.gif" \* MERGEFORMATINET </w:instrText>
            </w:r>
            <w:r w:rsidR="00A7510E">
              <w:fldChar w:fldCharType="separate"/>
            </w:r>
            <w:r w:rsidR="00211372">
              <w:fldChar w:fldCharType="begin"/>
            </w:r>
            <w:r w:rsidR="00211372">
              <w:instrText xml:space="preserve"> INCLUDEPICTURE  "http://www.hkex.com.hk/SiteCollectionImages/list_dot_red.gif" \* MERGEFORMATINET </w:instrText>
            </w:r>
            <w:r w:rsidR="00211372">
              <w:fldChar w:fldCharType="separate"/>
            </w:r>
            <w:r w:rsidR="00636CEF">
              <w:fldChar w:fldCharType="begin"/>
            </w:r>
            <w:r w:rsidR="00636CEF">
              <w:instrText xml:space="preserve"> INCLUDEPICTURE  "http://www.hkex.com.hk/SiteCollectionImages/list_dot_red.gif" \* MERGEFORMATINET </w:instrText>
            </w:r>
            <w:r w:rsidR="00636CEF">
              <w:fldChar w:fldCharType="separate"/>
            </w:r>
            <w:r w:rsidR="007A4313">
              <w:fldChar w:fldCharType="begin"/>
            </w:r>
            <w:r w:rsidR="007A4313">
              <w:instrText xml:space="preserve"> </w:instrText>
            </w:r>
            <w:r w:rsidR="007A4313">
              <w:instrText>INCLUDEPICTURE  "http://www.hkex.com.hk/SiteCollectionImages/list_dot_red.gif" \* MERGEFORMATINET</w:instrText>
            </w:r>
            <w:r w:rsidR="007A4313">
              <w:instrText xml:space="preserve"> </w:instrText>
            </w:r>
            <w:r w:rsidR="007A4313">
              <w:fldChar w:fldCharType="separate"/>
            </w:r>
            <w:r w:rsidR="007A4313">
              <w:pict>
                <v:shape id="_x0000_i1031" type="#_x0000_t75" style="width:10.2pt;height:7.45pt">
                  <v:imagedata r:id="rId11" r:href="rId18"/>
                </v:shape>
              </w:pict>
            </w:r>
            <w:r w:rsidR="007A4313">
              <w:fldChar w:fldCharType="end"/>
            </w:r>
            <w:r w:rsidR="00636CEF">
              <w:fldChar w:fldCharType="end"/>
            </w:r>
            <w:r w:rsidR="00211372">
              <w:fldChar w:fldCharType="end"/>
            </w:r>
            <w:r w:rsidR="00A7510E">
              <w:fldChar w:fldCharType="end"/>
            </w:r>
            <w:r w:rsidR="003020E6">
              <w:fldChar w:fldCharType="end"/>
            </w:r>
            <w:r w:rsidR="00B75310">
              <w:fldChar w:fldCharType="end"/>
            </w:r>
            <w:r w:rsidR="00D737FE">
              <w:fldChar w:fldCharType="end"/>
            </w:r>
            <w:r w:rsidRPr="00E629A5">
              <w:fldChar w:fldCharType="end"/>
            </w:r>
          </w:p>
        </w:tc>
        <w:tc>
          <w:tcPr>
            <w:tcW w:w="0" w:type="auto"/>
            <w:hideMark/>
          </w:tcPr>
          <w:p w:rsidR="001D5833" w:rsidRPr="00E629A5" w:rsidRDefault="001D5833" w:rsidP="006306A6">
            <w:pPr>
              <w:pStyle w:val="ListParagraph"/>
              <w:snapToGrid w:val="0"/>
              <w:spacing w:after="0"/>
              <w:jc w:val="both"/>
            </w:pPr>
            <w:r w:rsidRPr="00E629A5">
              <w:t>Book-entry deposit / withdrawal transaction: HK$1,000 per transaction, payable by PD</w:t>
            </w:r>
          </w:p>
        </w:tc>
      </w:tr>
      <w:tr w:rsidR="001D5833" w:rsidRPr="00E629A5" w:rsidTr="006306A6">
        <w:trPr>
          <w:tblCellSpacing w:w="15" w:type="dxa"/>
        </w:trPr>
        <w:tc>
          <w:tcPr>
            <w:tcW w:w="30" w:type="dxa"/>
            <w:hideMark/>
          </w:tcPr>
          <w:p w:rsidR="001D5833" w:rsidRPr="00E629A5" w:rsidRDefault="001D5833" w:rsidP="006306A6">
            <w:pPr>
              <w:pStyle w:val="ListParagraph"/>
              <w:snapToGrid w:val="0"/>
              <w:jc w:val="both"/>
            </w:pPr>
            <w:r w:rsidRPr="00E629A5">
              <w:fldChar w:fldCharType="begin"/>
            </w:r>
            <w:r w:rsidRPr="00E629A5">
              <w:instrText xml:space="preserve"> INCLUDEPICTURE "http://www.hkex.com.hk/SiteCollectionImages/list_dot_red.gif" \* MERGEFORMATINET </w:instrText>
            </w:r>
            <w:r w:rsidRPr="00E629A5">
              <w:fldChar w:fldCharType="separate"/>
            </w:r>
            <w:r w:rsidR="00D737FE">
              <w:fldChar w:fldCharType="begin"/>
            </w:r>
            <w:r w:rsidR="00D737FE">
              <w:instrText xml:space="preserve"> INCLUDEPICTURE  "http://www.hkex.com.hk/SiteCollectionImages/list_dot_red.gif" \* MERGEFORMATINET </w:instrText>
            </w:r>
            <w:r w:rsidR="00D737FE">
              <w:fldChar w:fldCharType="separate"/>
            </w:r>
            <w:r w:rsidR="00B75310">
              <w:fldChar w:fldCharType="begin"/>
            </w:r>
            <w:r w:rsidR="00B75310">
              <w:instrText xml:space="preserve"> INCLUDEPICTURE  "http://www.hkex.com.hk/SiteCollectionImages/list_dot_red.gif" \* MERGEFORMATINET </w:instrText>
            </w:r>
            <w:r w:rsidR="00B75310">
              <w:fldChar w:fldCharType="separate"/>
            </w:r>
            <w:r w:rsidR="003020E6">
              <w:fldChar w:fldCharType="begin"/>
            </w:r>
            <w:r w:rsidR="003020E6">
              <w:instrText xml:space="preserve"> INCLUDEPICTURE  "http://www.hkex.com.hk/SiteCollectionImages/list_dot_red.gif" \* MERGEFORMATINET </w:instrText>
            </w:r>
            <w:r w:rsidR="003020E6">
              <w:fldChar w:fldCharType="separate"/>
            </w:r>
            <w:r w:rsidR="00A7510E">
              <w:fldChar w:fldCharType="begin"/>
            </w:r>
            <w:r w:rsidR="00A7510E">
              <w:instrText xml:space="preserve"> INCLUDEPICTURE  "http://www.hkex.com.hk/SiteCollectionImages/list_dot_red.gif" \* MERGEFORMATINET </w:instrText>
            </w:r>
            <w:r w:rsidR="00A7510E">
              <w:fldChar w:fldCharType="separate"/>
            </w:r>
            <w:r w:rsidR="00211372">
              <w:fldChar w:fldCharType="begin"/>
            </w:r>
            <w:r w:rsidR="00211372">
              <w:instrText xml:space="preserve"> INCLUDEPICTURE  "http://www.hkex.com.hk/SiteCollectionImages/list_dot_red.gif" \* MERGEFORMATINET </w:instrText>
            </w:r>
            <w:r w:rsidR="00211372">
              <w:fldChar w:fldCharType="separate"/>
            </w:r>
            <w:r w:rsidR="00636CEF">
              <w:fldChar w:fldCharType="begin"/>
            </w:r>
            <w:r w:rsidR="00636CEF">
              <w:instrText xml:space="preserve"> INCLUDEPICTURE  "http://www.hkex.com.hk/SiteCollectionImages/list_dot_red.gif" \* MERGEFORMATINET </w:instrText>
            </w:r>
            <w:r w:rsidR="00636CEF">
              <w:fldChar w:fldCharType="separate"/>
            </w:r>
            <w:r w:rsidR="007A4313">
              <w:fldChar w:fldCharType="begin"/>
            </w:r>
            <w:r w:rsidR="007A4313">
              <w:instrText xml:space="preserve"> </w:instrText>
            </w:r>
            <w:r w:rsidR="007A4313">
              <w:instrText>INCLUDEPICTURE  "http://www.hkex.com.hk/SiteCollectionImages/list_dot_red.gif" \* MERGEFORMATINET</w:instrText>
            </w:r>
            <w:r w:rsidR="007A4313">
              <w:instrText xml:space="preserve"> </w:instrText>
            </w:r>
            <w:r w:rsidR="007A4313">
              <w:fldChar w:fldCharType="separate"/>
            </w:r>
            <w:r w:rsidR="007A4313">
              <w:pict>
                <v:shape id="_x0000_i1032" type="#_x0000_t75" style="width:10.2pt;height:7.45pt">
                  <v:imagedata r:id="rId11" r:href="rId19"/>
                </v:shape>
              </w:pict>
            </w:r>
            <w:r w:rsidR="007A4313">
              <w:fldChar w:fldCharType="end"/>
            </w:r>
            <w:r w:rsidR="00636CEF">
              <w:fldChar w:fldCharType="end"/>
            </w:r>
            <w:r w:rsidR="00211372">
              <w:fldChar w:fldCharType="end"/>
            </w:r>
            <w:r w:rsidR="00A7510E">
              <w:fldChar w:fldCharType="end"/>
            </w:r>
            <w:r w:rsidR="003020E6">
              <w:fldChar w:fldCharType="end"/>
            </w:r>
            <w:r w:rsidR="00B75310">
              <w:fldChar w:fldCharType="end"/>
            </w:r>
            <w:r w:rsidR="00D737FE">
              <w:fldChar w:fldCharType="end"/>
            </w:r>
            <w:r w:rsidRPr="00E629A5">
              <w:fldChar w:fldCharType="end"/>
            </w:r>
          </w:p>
        </w:tc>
        <w:tc>
          <w:tcPr>
            <w:tcW w:w="0" w:type="auto"/>
            <w:hideMark/>
          </w:tcPr>
          <w:p w:rsidR="001D5833" w:rsidRPr="00E629A5" w:rsidRDefault="001D5833" w:rsidP="006306A6">
            <w:pPr>
              <w:pStyle w:val="ListParagraph"/>
              <w:snapToGrid w:val="0"/>
              <w:spacing w:after="0"/>
              <w:jc w:val="both"/>
            </w:pPr>
            <w:r w:rsidRPr="00E629A5">
              <w:t>Reconciliation fee: HK$5,000 per month, payable by the ETF manager</w:t>
            </w:r>
          </w:p>
        </w:tc>
      </w:tr>
    </w:tbl>
    <w:p w:rsidR="001D5833" w:rsidRPr="00E629A5" w:rsidRDefault="001D5833" w:rsidP="001D5833">
      <w:pPr>
        <w:pStyle w:val="ListParagraph"/>
        <w:snapToGrid w:val="0"/>
        <w:spacing w:after="0"/>
        <w:ind w:left="0"/>
        <w:jc w:val="both"/>
      </w:pPr>
      <w:r w:rsidRPr="00E629A5">
        <w:t>Conversion agent: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5"/>
        <w:gridCol w:w="8492"/>
      </w:tblGrid>
      <w:tr w:rsidR="001D5833" w:rsidRPr="00E629A5" w:rsidTr="006306A6">
        <w:trPr>
          <w:tblCellSpacing w:w="15" w:type="dxa"/>
        </w:trPr>
        <w:tc>
          <w:tcPr>
            <w:tcW w:w="30" w:type="dxa"/>
            <w:hideMark/>
          </w:tcPr>
          <w:p w:rsidR="001D5833" w:rsidRPr="00E629A5" w:rsidRDefault="001D5833" w:rsidP="006306A6">
            <w:pPr>
              <w:pStyle w:val="ListParagraph"/>
              <w:snapToGrid w:val="0"/>
              <w:jc w:val="both"/>
            </w:pPr>
            <w:r w:rsidRPr="00E629A5">
              <w:fldChar w:fldCharType="begin"/>
            </w:r>
            <w:r w:rsidRPr="00E629A5">
              <w:instrText xml:space="preserve"> INCLUDEPICTURE "http://www.hkex.com.hk/SiteCollectionImages/list_dot_red.gif" \* MERGEFORMATINET </w:instrText>
            </w:r>
            <w:r w:rsidRPr="00E629A5">
              <w:fldChar w:fldCharType="separate"/>
            </w:r>
            <w:r w:rsidR="00D737FE">
              <w:fldChar w:fldCharType="begin"/>
            </w:r>
            <w:r w:rsidR="00D737FE">
              <w:instrText xml:space="preserve"> INCLUDEPICTURE  "http://www.hkex.com.hk/SiteCollectionImages/list_dot_red.gif" \* MERGEFORMATINET </w:instrText>
            </w:r>
            <w:r w:rsidR="00D737FE">
              <w:fldChar w:fldCharType="separate"/>
            </w:r>
            <w:r w:rsidR="00B75310">
              <w:fldChar w:fldCharType="begin"/>
            </w:r>
            <w:r w:rsidR="00B75310">
              <w:instrText xml:space="preserve"> INCLUDEPICTURE  "http://www.hkex.com.hk/SiteCollectionImages/list_dot_red.gif" \* MERGEFORMATINET </w:instrText>
            </w:r>
            <w:r w:rsidR="00B75310">
              <w:fldChar w:fldCharType="separate"/>
            </w:r>
            <w:r w:rsidR="003020E6">
              <w:fldChar w:fldCharType="begin"/>
            </w:r>
            <w:r w:rsidR="003020E6">
              <w:instrText xml:space="preserve"> INCLUDEPICTURE  "http://www.hkex.com.hk/SiteCollectionImages/list_dot_red.gif" \* MERGEFORMATINET </w:instrText>
            </w:r>
            <w:r w:rsidR="003020E6">
              <w:fldChar w:fldCharType="separate"/>
            </w:r>
            <w:r w:rsidR="00A7510E">
              <w:fldChar w:fldCharType="begin"/>
            </w:r>
            <w:r w:rsidR="00A7510E">
              <w:instrText xml:space="preserve"> INCLUDEPICTURE  "http://www.hkex.com.hk/SiteCollectionImages/list_dot_red.gif" \* MERGEFORMATINET </w:instrText>
            </w:r>
            <w:r w:rsidR="00A7510E">
              <w:fldChar w:fldCharType="separate"/>
            </w:r>
            <w:r w:rsidR="00211372">
              <w:fldChar w:fldCharType="begin"/>
            </w:r>
            <w:r w:rsidR="00211372">
              <w:instrText xml:space="preserve"> INCLUDEPICTURE  "http://www.hkex.com.hk/SiteCollectionImages/list_dot_red.gif" \* MERGEFORMATINET </w:instrText>
            </w:r>
            <w:r w:rsidR="00211372">
              <w:fldChar w:fldCharType="separate"/>
            </w:r>
            <w:r w:rsidR="00636CEF">
              <w:fldChar w:fldCharType="begin"/>
            </w:r>
            <w:r w:rsidR="00636CEF">
              <w:instrText xml:space="preserve"> INCLUDEPICTURE  "http://www.hkex.com.hk/SiteCollectionImages/list_dot_red.gif" \* MERGEFORMATINET </w:instrText>
            </w:r>
            <w:r w:rsidR="00636CEF">
              <w:fldChar w:fldCharType="separate"/>
            </w:r>
            <w:r w:rsidR="007A4313">
              <w:fldChar w:fldCharType="begin"/>
            </w:r>
            <w:r w:rsidR="007A4313">
              <w:instrText xml:space="preserve"> </w:instrText>
            </w:r>
            <w:r w:rsidR="007A4313">
              <w:instrText>INCLUDEPICTURE  "http://www.hkex.com.</w:instrText>
            </w:r>
            <w:r w:rsidR="007A4313">
              <w:instrText>hk/SiteCollectionImages/list_dot_red.gif" \* MERGEFORMATINET</w:instrText>
            </w:r>
            <w:r w:rsidR="007A4313">
              <w:instrText xml:space="preserve"> </w:instrText>
            </w:r>
            <w:r w:rsidR="007A4313">
              <w:fldChar w:fldCharType="separate"/>
            </w:r>
            <w:r w:rsidR="007A4313">
              <w:pict>
                <v:shape id="_x0000_i1033" type="#_x0000_t75" style="width:10.2pt;height:7.45pt">
                  <v:imagedata r:id="rId11" r:href="rId20"/>
                </v:shape>
              </w:pict>
            </w:r>
            <w:r w:rsidR="007A4313">
              <w:fldChar w:fldCharType="end"/>
            </w:r>
            <w:r w:rsidR="00636CEF">
              <w:fldChar w:fldCharType="end"/>
            </w:r>
            <w:r w:rsidR="00211372">
              <w:fldChar w:fldCharType="end"/>
            </w:r>
            <w:r w:rsidR="00A7510E">
              <w:fldChar w:fldCharType="end"/>
            </w:r>
            <w:r w:rsidR="003020E6">
              <w:fldChar w:fldCharType="end"/>
            </w:r>
            <w:r w:rsidR="00B75310">
              <w:fldChar w:fldCharType="end"/>
            </w:r>
            <w:r w:rsidR="00D737FE">
              <w:fldChar w:fldCharType="end"/>
            </w:r>
            <w:r w:rsidRPr="00E629A5">
              <w:fldChar w:fldCharType="end"/>
            </w:r>
          </w:p>
        </w:tc>
        <w:tc>
          <w:tcPr>
            <w:tcW w:w="0" w:type="auto"/>
            <w:hideMark/>
          </w:tcPr>
          <w:p w:rsidR="001D5833" w:rsidRPr="00E629A5" w:rsidRDefault="001D5833" w:rsidP="006306A6">
            <w:pPr>
              <w:pStyle w:val="ListParagraph"/>
              <w:snapToGrid w:val="0"/>
              <w:spacing w:after="0"/>
              <w:jc w:val="both"/>
            </w:pPr>
            <w:r w:rsidRPr="00E629A5">
              <w:t>Conversion agent’s fee: HK$5,000 – $12,000 depending on the aggregate market value of creation/redemption instructions of a PD for the day, payable by the ETF manager</w:t>
            </w:r>
          </w:p>
        </w:tc>
      </w:tr>
      <w:tr w:rsidR="001D5833" w:rsidRPr="00E629A5" w:rsidTr="006306A6">
        <w:trPr>
          <w:tblCellSpacing w:w="15" w:type="dxa"/>
        </w:trPr>
        <w:tc>
          <w:tcPr>
            <w:tcW w:w="30" w:type="dxa"/>
            <w:hideMark/>
          </w:tcPr>
          <w:p w:rsidR="001D5833" w:rsidRPr="00E629A5" w:rsidRDefault="001D5833" w:rsidP="006306A6">
            <w:pPr>
              <w:pStyle w:val="ListParagraph"/>
              <w:snapToGrid w:val="0"/>
              <w:jc w:val="both"/>
            </w:pPr>
            <w:r w:rsidRPr="00E629A5">
              <w:fldChar w:fldCharType="begin"/>
            </w:r>
            <w:r w:rsidRPr="00E629A5">
              <w:instrText xml:space="preserve"> INCLUDEPICTURE "http://www.hkex.com.hk/SiteCollectionImages/list_dot_red.gif" \* MERGEFORMATINET </w:instrText>
            </w:r>
            <w:r w:rsidRPr="00E629A5">
              <w:fldChar w:fldCharType="separate"/>
            </w:r>
            <w:r w:rsidR="00D737FE">
              <w:fldChar w:fldCharType="begin"/>
            </w:r>
            <w:r w:rsidR="00D737FE">
              <w:instrText xml:space="preserve"> INCLUDEPICTURE  "http://www.hkex.com.hk/SiteCollectionImages/list_dot_red.gif" \* MERGEFORMATINET </w:instrText>
            </w:r>
            <w:r w:rsidR="00D737FE">
              <w:fldChar w:fldCharType="separate"/>
            </w:r>
            <w:r w:rsidR="00B75310">
              <w:fldChar w:fldCharType="begin"/>
            </w:r>
            <w:r w:rsidR="00B75310">
              <w:instrText xml:space="preserve"> INCLUDEPICTURE  "http://www.hkex.com.hk/SiteCollectionImages/list_dot_red.gif" \* MERGEFORMATINET </w:instrText>
            </w:r>
            <w:r w:rsidR="00B75310">
              <w:fldChar w:fldCharType="separate"/>
            </w:r>
            <w:r w:rsidR="003020E6">
              <w:fldChar w:fldCharType="begin"/>
            </w:r>
            <w:r w:rsidR="003020E6">
              <w:instrText xml:space="preserve"> INCLUDEPICTURE  "http://www.hkex.com.hk/SiteCollectionImages/list_dot_red.gif" \* MERGEFORMATINET </w:instrText>
            </w:r>
            <w:r w:rsidR="003020E6">
              <w:fldChar w:fldCharType="separate"/>
            </w:r>
            <w:r w:rsidR="00A7510E">
              <w:fldChar w:fldCharType="begin"/>
            </w:r>
            <w:r w:rsidR="00A7510E">
              <w:instrText xml:space="preserve"> INCLUDEPICTURE  "http://www.hkex.com.hk/SiteCollectionImages/list_dot_red.gif" \* MERGEFORMATINET </w:instrText>
            </w:r>
            <w:r w:rsidR="00A7510E">
              <w:fldChar w:fldCharType="separate"/>
            </w:r>
            <w:r w:rsidR="00211372">
              <w:fldChar w:fldCharType="begin"/>
            </w:r>
            <w:r w:rsidR="00211372">
              <w:instrText xml:space="preserve"> INCLUDEPICTURE  "http://www.hkex.com.hk/SiteCollectionImages/list_dot_red.gif" \* MERGEFORMATINET </w:instrText>
            </w:r>
            <w:r w:rsidR="00211372">
              <w:fldChar w:fldCharType="separate"/>
            </w:r>
            <w:r w:rsidR="00636CEF">
              <w:fldChar w:fldCharType="begin"/>
            </w:r>
            <w:r w:rsidR="00636CEF">
              <w:instrText xml:space="preserve"> INCLUDEPICTURE  "http://www.hkex.com.hk/SiteCollectionImages/list_dot_red.gif" \* MERGEFORMATINET </w:instrText>
            </w:r>
            <w:r w:rsidR="00636CEF">
              <w:fldChar w:fldCharType="separate"/>
            </w:r>
            <w:r w:rsidR="007A4313">
              <w:fldChar w:fldCharType="begin"/>
            </w:r>
            <w:r w:rsidR="007A4313">
              <w:instrText xml:space="preserve"> </w:instrText>
            </w:r>
            <w:r w:rsidR="007A4313">
              <w:instrText>INCLUDEPICTURE  "http://www.hkex.com.hk/SiteCollectionImages/list_dot_red.gi</w:instrText>
            </w:r>
            <w:r w:rsidR="007A4313">
              <w:instrText>f" \* MERGEFORMATINET</w:instrText>
            </w:r>
            <w:r w:rsidR="007A4313">
              <w:instrText xml:space="preserve"> </w:instrText>
            </w:r>
            <w:r w:rsidR="007A4313">
              <w:fldChar w:fldCharType="separate"/>
            </w:r>
            <w:r w:rsidR="007A4313">
              <w:pict>
                <v:shape id="_x0000_i1034" type="#_x0000_t75" style="width:10.2pt;height:7.45pt">
                  <v:imagedata r:id="rId11" r:href="rId21"/>
                </v:shape>
              </w:pict>
            </w:r>
            <w:r w:rsidR="007A4313">
              <w:fldChar w:fldCharType="end"/>
            </w:r>
            <w:r w:rsidR="00636CEF">
              <w:fldChar w:fldCharType="end"/>
            </w:r>
            <w:r w:rsidR="00211372">
              <w:fldChar w:fldCharType="end"/>
            </w:r>
            <w:r w:rsidR="00A7510E">
              <w:fldChar w:fldCharType="end"/>
            </w:r>
            <w:r w:rsidR="003020E6">
              <w:fldChar w:fldCharType="end"/>
            </w:r>
            <w:r w:rsidR="00B75310">
              <w:fldChar w:fldCharType="end"/>
            </w:r>
            <w:r w:rsidR="00D737FE">
              <w:fldChar w:fldCharType="end"/>
            </w:r>
            <w:r w:rsidRPr="00E629A5">
              <w:fldChar w:fldCharType="end"/>
            </w:r>
          </w:p>
        </w:tc>
        <w:tc>
          <w:tcPr>
            <w:tcW w:w="0" w:type="auto"/>
            <w:hideMark/>
          </w:tcPr>
          <w:p w:rsidR="001D5833" w:rsidRDefault="001D5833" w:rsidP="006306A6">
            <w:pPr>
              <w:pStyle w:val="ListParagraph"/>
              <w:snapToGrid w:val="0"/>
              <w:spacing w:after="0"/>
              <w:jc w:val="both"/>
            </w:pPr>
            <w:r w:rsidRPr="00E629A5">
              <w:t>Unit cancellation fee: HK$1 per board lot, payable by the ETF manager</w:t>
            </w:r>
          </w:p>
          <w:p w:rsidR="001D5833" w:rsidRDefault="001D5833" w:rsidP="006306A6">
            <w:pPr>
              <w:pStyle w:val="ListParagraph"/>
              <w:snapToGrid w:val="0"/>
              <w:spacing w:after="0"/>
              <w:jc w:val="both"/>
            </w:pPr>
          </w:p>
          <w:p w:rsidR="001D5833" w:rsidRDefault="001D5833" w:rsidP="006306A6">
            <w:pPr>
              <w:pStyle w:val="ListParagraph"/>
              <w:snapToGrid w:val="0"/>
              <w:spacing w:after="0"/>
              <w:jc w:val="both"/>
            </w:pPr>
          </w:p>
          <w:p w:rsidR="001D5833" w:rsidRPr="00E629A5" w:rsidRDefault="001D5833" w:rsidP="006306A6">
            <w:pPr>
              <w:pStyle w:val="ListParagraph"/>
              <w:snapToGrid w:val="0"/>
              <w:spacing w:after="0"/>
              <w:ind w:left="0" w:hanging="1005"/>
              <w:jc w:val="both"/>
            </w:pPr>
          </w:p>
        </w:tc>
      </w:tr>
    </w:tbl>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Default="001D5833" w:rsidP="001D5833">
      <w:pPr>
        <w:pStyle w:val="ListParagraph"/>
        <w:snapToGrid w:val="0"/>
        <w:spacing w:after="0"/>
        <w:ind w:left="0"/>
        <w:jc w:val="both"/>
        <w:rPr>
          <w:b/>
        </w:rPr>
      </w:pPr>
    </w:p>
    <w:p w:rsidR="001D5833" w:rsidRPr="00E55E41" w:rsidRDefault="00B75310" w:rsidP="001D5833">
      <w:pPr>
        <w:pStyle w:val="ListParagraph"/>
        <w:snapToGrid w:val="0"/>
        <w:spacing w:after="0"/>
        <w:ind w:left="0"/>
        <w:jc w:val="both"/>
        <w:rPr>
          <w:b/>
        </w:rPr>
      </w:pPr>
      <w:r w:rsidRPr="00A7510E">
        <w:rPr>
          <w:b/>
        </w:rPr>
        <w:t>MARCH</w:t>
      </w:r>
      <w:r w:rsidRPr="00B75310">
        <w:rPr>
          <w:b/>
        </w:rPr>
        <w:t xml:space="preserve"> </w:t>
      </w:r>
      <w:r w:rsidR="001D5833" w:rsidRPr="00B75310">
        <w:rPr>
          <w:b/>
        </w:rPr>
        <w:t>20</w:t>
      </w:r>
      <w:r w:rsidRPr="00A7510E">
        <w:rPr>
          <w:b/>
        </w:rPr>
        <w:t>21</w:t>
      </w:r>
    </w:p>
    <w:p w:rsidR="001D5833" w:rsidRDefault="001D5833" w:rsidP="001D5833">
      <w:pPr>
        <w:pStyle w:val="BodyText"/>
        <w:jc w:val="both"/>
        <w:rPr>
          <w:bCs/>
          <w:i/>
          <w:iCs/>
        </w:rPr>
      </w:pPr>
    </w:p>
    <w:p w:rsidR="001D5833" w:rsidRPr="00E629A5" w:rsidRDefault="001D5833" w:rsidP="001D5833">
      <w:pPr>
        <w:pStyle w:val="BodyText"/>
        <w:jc w:val="both"/>
      </w:pPr>
      <w:r>
        <w:rPr>
          <w:bCs/>
          <w:i/>
          <w:iCs/>
        </w:rPr>
        <w:t>This note is provided for information purposes only and does not constitute legal advice. Specific advice should be sought in relation to any particular situation. This note has been prepared based on the laws and regulations in force at the date of this note which may be subsequently amended, modified, re-enacted, restated or replaced.</w:t>
      </w:r>
    </w:p>
    <w:p w:rsidR="00B345F4" w:rsidRDefault="00B345F4"/>
    <w:sectPr w:rsidR="00B345F4" w:rsidSect="006306A6">
      <w:footerReference w:type="default" r:id="rId22"/>
      <w:pgSz w:w="11906" w:h="16838"/>
      <w:pgMar w:top="1440" w:right="1133" w:bottom="1440" w:left="1276" w:header="708" w:footer="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CEF" w:rsidRDefault="00636CEF" w:rsidP="001D5833">
      <w:pPr>
        <w:spacing w:after="0" w:line="240" w:lineRule="auto"/>
      </w:pPr>
      <w:r>
        <w:separator/>
      </w:r>
    </w:p>
  </w:endnote>
  <w:endnote w:type="continuationSeparator" w:id="0">
    <w:p w:rsidR="00636CEF" w:rsidRDefault="00636CEF" w:rsidP="001D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6A6" w:rsidRDefault="006306A6">
    <w:pPr>
      <w:pStyle w:val="Footer"/>
      <w:jc w:val="center"/>
      <w:rPr>
        <w:sz w:val="18"/>
        <w:szCs w:val="18"/>
      </w:rPr>
    </w:pPr>
    <w:r w:rsidRPr="00ED5B3D">
      <w:rPr>
        <w:sz w:val="18"/>
        <w:szCs w:val="18"/>
      </w:rPr>
      <w:fldChar w:fldCharType="begin"/>
    </w:r>
    <w:r w:rsidRPr="00ED5B3D">
      <w:rPr>
        <w:sz w:val="18"/>
        <w:szCs w:val="18"/>
      </w:rPr>
      <w:instrText xml:space="preserve"> PAGE   \* MERGEFORMAT </w:instrText>
    </w:r>
    <w:r w:rsidRPr="00ED5B3D">
      <w:rPr>
        <w:sz w:val="18"/>
        <w:szCs w:val="18"/>
      </w:rPr>
      <w:fldChar w:fldCharType="separate"/>
    </w:r>
    <w:r w:rsidR="007A4313">
      <w:rPr>
        <w:noProof/>
        <w:sz w:val="18"/>
        <w:szCs w:val="18"/>
      </w:rPr>
      <w:t>i</w:t>
    </w:r>
    <w:r w:rsidRPr="00ED5B3D">
      <w:rPr>
        <w:sz w:val="18"/>
        <w:szCs w:val="18"/>
      </w:rPr>
      <w:fldChar w:fldCharType="end"/>
    </w:r>
  </w:p>
  <w:p w:rsidR="006306A6" w:rsidRPr="005F098A" w:rsidRDefault="006306A6" w:rsidP="006306A6">
    <w:pPr>
      <w:pStyle w:val="Footer"/>
      <w:rPr>
        <w:rFonts w:ascii="Trajan Pro" w:hAnsi="Trajan Pro"/>
        <w:sz w:val="18"/>
        <w:szCs w:val="18"/>
      </w:rPr>
    </w:pPr>
    <w:r>
      <w:rPr>
        <w:sz w:val="18"/>
        <w:szCs w:val="18"/>
      </w:rPr>
      <w:t xml:space="preserve">© </w:t>
    </w:r>
    <w:r w:rsidRPr="005F098A">
      <w:rPr>
        <w:rFonts w:ascii="Trajan Pro" w:hAnsi="Trajan Pro"/>
        <w:sz w:val="18"/>
        <w:szCs w:val="18"/>
      </w:rPr>
      <w:t>Charltons</w:t>
    </w:r>
  </w:p>
  <w:p w:rsidR="006306A6" w:rsidRDefault="006306A6">
    <w:pPr>
      <w:pStyle w:val="Footer"/>
    </w:pPr>
  </w:p>
  <w:p w:rsidR="006306A6" w:rsidRDefault="006306A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6A6" w:rsidRDefault="006306A6">
    <w:pPr>
      <w:pStyle w:val="Footer"/>
      <w:jc w:val="center"/>
      <w:rPr>
        <w:sz w:val="18"/>
        <w:szCs w:val="18"/>
      </w:rPr>
    </w:pPr>
    <w:r w:rsidRPr="00ED5B3D">
      <w:rPr>
        <w:sz w:val="18"/>
        <w:szCs w:val="18"/>
      </w:rPr>
      <w:fldChar w:fldCharType="begin"/>
    </w:r>
    <w:r w:rsidRPr="00ED5B3D">
      <w:rPr>
        <w:sz w:val="18"/>
        <w:szCs w:val="18"/>
      </w:rPr>
      <w:instrText xml:space="preserve"> PAGE   \* MERGEFORMAT </w:instrText>
    </w:r>
    <w:r w:rsidRPr="00ED5B3D">
      <w:rPr>
        <w:sz w:val="18"/>
        <w:szCs w:val="18"/>
      </w:rPr>
      <w:fldChar w:fldCharType="separate"/>
    </w:r>
    <w:r w:rsidR="007A4313">
      <w:rPr>
        <w:noProof/>
        <w:sz w:val="18"/>
        <w:szCs w:val="18"/>
      </w:rPr>
      <w:t>2</w:t>
    </w:r>
    <w:r w:rsidRPr="00ED5B3D">
      <w:rPr>
        <w:sz w:val="18"/>
        <w:szCs w:val="18"/>
      </w:rPr>
      <w:fldChar w:fldCharType="end"/>
    </w:r>
  </w:p>
  <w:p w:rsidR="006306A6" w:rsidRPr="005F098A" w:rsidRDefault="006306A6" w:rsidP="006306A6">
    <w:pPr>
      <w:pStyle w:val="Footer"/>
      <w:rPr>
        <w:rFonts w:ascii="Trajan Pro" w:hAnsi="Trajan Pro"/>
        <w:sz w:val="18"/>
        <w:szCs w:val="18"/>
      </w:rPr>
    </w:pPr>
    <w:r>
      <w:rPr>
        <w:sz w:val="18"/>
        <w:szCs w:val="18"/>
      </w:rPr>
      <w:t xml:space="preserve">© </w:t>
    </w:r>
    <w:r w:rsidRPr="005F098A">
      <w:rPr>
        <w:rFonts w:ascii="Trajan Pro" w:hAnsi="Trajan Pro"/>
        <w:sz w:val="18"/>
        <w:szCs w:val="18"/>
      </w:rPr>
      <w:t>Charltons</w:t>
    </w:r>
  </w:p>
  <w:p w:rsidR="006306A6" w:rsidRDefault="006306A6">
    <w:pPr>
      <w:pStyle w:val="Footer"/>
    </w:pPr>
  </w:p>
  <w:p w:rsidR="006306A6" w:rsidRDefault="006306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CEF" w:rsidRDefault="00636CEF" w:rsidP="001D5833">
      <w:pPr>
        <w:spacing w:after="0" w:line="240" w:lineRule="auto"/>
      </w:pPr>
      <w:r>
        <w:separator/>
      </w:r>
    </w:p>
  </w:footnote>
  <w:footnote w:type="continuationSeparator" w:id="0">
    <w:p w:rsidR="00636CEF" w:rsidRDefault="00636CEF" w:rsidP="001D5833">
      <w:pPr>
        <w:spacing w:after="0" w:line="240" w:lineRule="auto"/>
      </w:pPr>
      <w:r>
        <w:continuationSeparator/>
      </w:r>
    </w:p>
  </w:footnote>
  <w:footnote w:id="1">
    <w:p w:rsidR="006306A6" w:rsidRDefault="006306A6" w:rsidP="001D5833">
      <w:pPr>
        <w:pStyle w:val="FootnoteText"/>
        <w:ind w:left="284" w:hanging="284"/>
      </w:pPr>
      <w:r>
        <w:rPr>
          <w:rStyle w:val="FootnoteReference"/>
        </w:rPr>
        <w:footnoteRef/>
      </w:r>
      <w:r>
        <w:t xml:space="preserve"> </w:t>
      </w:r>
      <w:r>
        <w:tab/>
      </w:r>
      <w:r w:rsidRPr="00B75310">
        <w:t xml:space="preserve">As at </w:t>
      </w:r>
      <w:r w:rsidR="00B75310" w:rsidRPr="00A7510E">
        <w:t xml:space="preserve">31 </w:t>
      </w:r>
      <w:proofErr w:type="gramStart"/>
      <w:r w:rsidR="00B75310" w:rsidRPr="00A7510E">
        <w:t xml:space="preserve">December </w:t>
      </w:r>
      <w:r w:rsidRPr="00B75310">
        <w:t xml:space="preserve"> February</w:t>
      </w:r>
      <w:proofErr w:type="gramEnd"/>
      <w:r w:rsidRPr="00B75310">
        <w:t xml:space="preserve"> 20</w:t>
      </w:r>
      <w:r w:rsidR="00B75310" w:rsidRPr="00A7510E">
        <w:t>20</w:t>
      </w:r>
      <w:r w:rsidRPr="00B75310">
        <w:t>.</w:t>
      </w:r>
    </w:p>
  </w:footnote>
  <w:footnote w:id="2">
    <w:p w:rsidR="006306A6" w:rsidRDefault="006306A6" w:rsidP="001D5833">
      <w:pPr>
        <w:pStyle w:val="FootnoteText"/>
        <w:ind w:left="284" w:hanging="284"/>
      </w:pPr>
      <w:r>
        <w:rPr>
          <w:rStyle w:val="FootnoteReference"/>
        </w:rPr>
        <w:footnoteRef/>
      </w:r>
      <w:r>
        <w:t xml:space="preserve"> </w:t>
      </w:r>
      <w:r>
        <w:tab/>
        <w:t>The BMO MSCI Asia Pacific Real Estate ETF.</w:t>
      </w:r>
    </w:p>
  </w:footnote>
  <w:footnote w:id="3">
    <w:p w:rsidR="006306A6" w:rsidRPr="00A7510E" w:rsidRDefault="006306A6">
      <w:pPr>
        <w:pStyle w:val="FootnoteText"/>
        <w:rPr>
          <w:rFonts w:eastAsiaTheme="minorEastAsia"/>
          <w:lang w:eastAsia="zh-CN"/>
        </w:rPr>
      </w:pPr>
      <w:r>
        <w:rPr>
          <w:rStyle w:val="FootnoteReference"/>
        </w:rPr>
        <w:footnoteRef/>
      </w:r>
      <w:r>
        <w:t xml:space="preserve"> </w:t>
      </w:r>
      <w:hyperlink r:id="rId1" w:history="1">
        <w:r w:rsidR="00D737FE" w:rsidRPr="001538FF">
          <w:rPr>
            <w:rStyle w:val="Hyperlink"/>
          </w:rPr>
          <w:t>https://www.sfc.hk/-/media/EN/assets/components/codes/files-current/web/codes/sfc-handbook-for-unit-trusts-and-mutual-funds/sfc-handbook-for-unit-trusts-and-mutual-funds.pdf</w:t>
        </w:r>
      </w:hyperlink>
      <w:r w:rsidR="00D737F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6A6" w:rsidRPr="008D481B" w:rsidRDefault="006306A6" w:rsidP="006306A6">
    <w:pPr>
      <w:pStyle w:val="Header"/>
      <w:jc w:val="right"/>
      <w:rPr>
        <w:i/>
        <w:sz w:val="18"/>
        <w:szCs w:val="18"/>
        <w:lang w:val="en-GB"/>
      </w:rPr>
    </w:pPr>
  </w:p>
  <w:p w:rsidR="006306A6" w:rsidRDefault="006306A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25DDE"/>
    <w:multiLevelType w:val="hybridMultilevel"/>
    <w:tmpl w:val="D598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261CD"/>
    <w:multiLevelType w:val="hybridMultilevel"/>
    <w:tmpl w:val="5D32D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003F1"/>
    <w:multiLevelType w:val="hybridMultilevel"/>
    <w:tmpl w:val="D57A422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34247D47"/>
    <w:multiLevelType w:val="hybridMultilevel"/>
    <w:tmpl w:val="D05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555EC"/>
    <w:multiLevelType w:val="hybridMultilevel"/>
    <w:tmpl w:val="20000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435E211B"/>
    <w:multiLevelType w:val="hybridMultilevel"/>
    <w:tmpl w:val="6E285E9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92F2A"/>
    <w:multiLevelType w:val="multilevel"/>
    <w:tmpl w:val="2AD0D9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55458A7"/>
    <w:multiLevelType w:val="hybridMultilevel"/>
    <w:tmpl w:val="7C72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7E1E6C"/>
    <w:multiLevelType w:val="hybridMultilevel"/>
    <w:tmpl w:val="A304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C57805"/>
    <w:multiLevelType w:val="hybridMultilevel"/>
    <w:tmpl w:val="3CF6291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35E5394"/>
    <w:multiLevelType w:val="hybridMultilevel"/>
    <w:tmpl w:val="44AE301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48B7CC5"/>
    <w:multiLevelType w:val="hybridMultilevel"/>
    <w:tmpl w:val="CA5E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B692C"/>
    <w:multiLevelType w:val="hybridMultilevel"/>
    <w:tmpl w:val="726C2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020F68"/>
    <w:multiLevelType w:val="hybridMultilevel"/>
    <w:tmpl w:val="62A8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3D492C"/>
    <w:multiLevelType w:val="hybridMultilevel"/>
    <w:tmpl w:val="B676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12"/>
  </w:num>
  <w:num w:numId="6">
    <w:abstractNumId w:val="8"/>
  </w:num>
  <w:num w:numId="7">
    <w:abstractNumId w:val="3"/>
  </w:num>
  <w:num w:numId="8">
    <w:abstractNumId w:val="5"/>
  </w:num>
  <w:num w:numId="9">
    <w:abstractNumId w:val="6"/>
  </w:num>
  <w:num w:numId="10">
    <w:abstractNumId w:val="10"/>
  </w:num>
  <w:num w:numId="11">
    <w:abstractNumId w:val="9"/>
  </w:num>
  <w:num w:numId="12">
    <w:abstractNumId w:val="4"/>
  </w:num>
  <w:num w:numId="13">
    <w:abstractNumId w:val="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formatting="1" w:enforcement="1" w:cryptProviderType="rsaAES" w:cryptAlgorithmClass="hash" w:cryptAlgorithmType="typeAny" w:cryptAlgorithmSid="14" w:cryptSpinCount="100000" w:hash="fg/Rx3CxXoqfStSdkIOeleVGszTeifepsClUMfNdIP1Rao33inDT/WyYepXTEsDI9JA5fA6sqOA8IpPrDC/WEA==" w:salt="ANy8EAtO0UEyhH0XRelIk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5F"/>
    <w:rsid w:val="00083B58"/>
    <w:rsid w:val="0013625F"/>
    <w:rsid w:val="001D5833"/>
    <w:rsid w:val="001F7113"/>
    <w:rsid w:val="00211372"/>
    <w:rsid w:val="002B3A9D"/>
    <w:rsid w:val="002D5BF3"/>
    <w:rsid w:val="002F28CD"/>
    <w:rsid w:val="003020E6"/>
    <w:rsid w:val="00312507"/>
    <w:rsid w:val="004926E3"/>
    <w:rsid w:val="004F5869"/>
    <w:rsid w:val="005A41BE"/>
    <w:rsid w:val="006306A6"/>
    <w:rsid w:val="00636CEF"/>
    <w:rsid w:val="00715A2C"/>
    <w:rsid w:val="0071648D"/>
    <w:rsid w:val="007A4313"/>
    <w:rsid w:val="00817292"/>
    <w:rsid w:val="009D043D"/>
    <w:rsid w:val="00A7510E"/>
    <w:rsid w:val="00B345F4"/>
    <w:rsid w:val="00B75310"/>
    <w:rsid w:val="00B812D7"/>
    <w:rsid w:val="00C02E27"/>
    <w:rsid w:val="00D040A1"/>
    <w:rsid w:val="00D16F45"/>
    <w:rsid w:val="00D737FE"/>
    <w:rsid w:val="00F16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chartTrackingRefBased/>
  <w15:docId w15:val="{45F2154C-6418-4209-B354-C3DA8A0F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833"/>
    <w:pPr>
      <w:spacing w:after="200" w:line="276" w:lineRule="auto"/>
    </w:pPr>
    <w:rPr>
      <w:rFonts w:ascii="Times New Roman" w:eastAsia="PMingLiU" w:hAnsi="Times New Roman" w:cs="Times New Roman"/>
      <w:lang w:val="en-GB" w:eastAsia="zh-TW"/>
    </w:rPr>
  </w:style>
  <w:style w:type="paragraph" w:styleId="Heading1">
    <w:name w:val="heading 1"/>
    <w:basedOn w:val="Normal"/>
    <w:next w:val="Normal"/>
    <w:link w:val="Heading1Char"/>
    <w:uiPriority w:val="9"/>
    <w:qFormat/>
    <w:rsid w:val="001D5833"/>
    <w:pPr>
      <w:keepNext/>
      <w:spacing w:before="240" w:after="60"/>
      <w:outlineLvl w:val="0"/>
    </w:pPr>
    <w:rPr>
      <w:rFonts w:ascii="Calibri Light" w:eastAsia="SimSun" w:hAnsi="Calibri Light"/>
      <w:b/>
      <w:bCs/>
      <w:kern w:val="32"/>
      <w:sz w:val="32"/>
      <w:szCs w:val="32"/>
    </w:rPr>
  </w:style>
  <w:style w:type="paragraph" w:styleId="Heading2">
    <w:name w:val="heading 2"/>
    <w:basedOn w:val="Normal"/>
    <w:next w:val="Normal"/>
    <w:link w:val="Heading2Char"/>
    <w:qFormat/>
    <w:rsid w:val="001D5833"/>
    <w:pPr>
      <w:keepNext/>
      <w:spacing w:after="0" w:line="240" w:lineRule="auto"/>
      <w:outlineLvl w:val="1"/>
    </w:pPr>
    <w:rPr>
      <w:rFonts w:eastAsia="MingLiU"/>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833"/>
    <w:rPr>
      <w:rFonts w:ascii="Calibri Light" w:eastAsia="SimSun" w:hAnsi="Calibri Light" w:cs="Times New Roman"/>
      <w:b/>
      <w:bCs/>
      <w:kern w:val="32"/>
      <w:sz w:val="32"/>
      <w:szCs w:val="32"/>
      <w:lang w:val="en-GB" w:eastAsia="zh-TW"/>
    </w:rPr>
  </w:style>
  <w:style w:type="character" w:customStyle="1" w:styleId="Heading2Char">
    <w:name w:val="Heading 2 Char"/>
    <w:basedOn w:val="DefaultParagraphFont"/>
    <w:link w:val="Heading2"/>
    <w:rsid w:val="001D5833"/>
    <w:rPr>
      <w:rFonts w:ascii="Times New Roman" w:eastAsia="MingLiU" w:hAnsi="Times New Roman" w:cs="Times New Roman"/>
      <w:b/>
      <w:sz w:val="24"/>
      <w:szCs w:val="20"/>
      <w:lang w:eastAsia="zh-TW"/>
    </w:rPr>
  </w:style>
  <w:style w:type="paragraph" w:styleId="ListParagraph">
    <w:name w:val="List Paragraph"/>
    <w:basedOn w:val="Normal"/>
    <w:uiPriority w:val="34"/>
    <w:qFormat/>
    <w:rsid w:val="001D5833"/>
    <w:pPr>
      <w:ind w:left="720"/>
      <w:contextualSpacing/>
    </w:pPr>
  </w:style>
  <w:style w:type="paragraph" w:styleId="Header">
    <w:name w:val="header"/>
    <w:basedOn w:val="Normal"/>
    <w:link w:val="HeaderChar"/>
    <w:semiHidden/>
    <w:rsid w:val="001D5833"/>
    <w:pPr>
      <w:tabs>
        <w:tab w:val="center" w:pos="4320"/>
        <w:tab w:val="right" w:pos="8640"/>
      </w:tabs>
      <w:spacing w:after="0" w:line="240" w:lineRule="auto"/>
    </w:pPr>
    <w:rPr>
      <w:sz w:val="24"/>
      <w:szCs w:val="20"/>
      <w:lang w:val="en-US"/>
    </w:rPr>
  </w:style>
  <w:style w:type="character" w:customStyle="1" w:styleId="HeaderChar">
    <w:name w:val="Header Char"/>
    <w:basedOn w:val="DefaultParagraphFont"/>
    <w:link w:val="Header"/>
    <w:semiHidden/>
    <w:rsid w:val="001D5833"/>
    <w:rPr>
      <w:rFonts w:ascii="Times New Roman" w:eastAsia="PMingLiU" w:hAnsi="Times New Roman" w:cs="Times New Roman"/>
      <w:sz w:val="24"/>
      <w:szCs w:val="20"/>
      <w:lang w:eastAsia="zh-TW"/>
    </w:rPr>
  </w:style>
  <w:style w:type="paragraph" w:styleId="FootnoteText">
    <w:name w:val="footnote text"/>
    <w:basedOn w:val="Normal"/>
    <w:link w:val="FootnoteTextChar"/>
    <w:semiHidden/>
    <w:rsid w:val="001D5833"/>
    <w:pPr>
      <w:spacing w:after="0" w:line="240" w:lineRule="auto"/>
    </w:pPr>
    <w:rPr>
      <w:sz w:val="20"/>
      <w:szCs w:val="20"/>
      <w:lang w:val="en-US"/>
    </w:rPr>
  </w:style>
  <w:style w:type="character" w:customStyle="1" w:styleId="FootnoteTextChar">
    <w:name w:val="Footnote Text Char"/>
    <w:basedOn w:val="DefaultParagraphFont"/>
    <w:link w:val="FootnoteText"/>
    <w:semiHidden/>
    <w:rsid w:val="001D5833"/>
    <w:rPr>
      <w:rFonts w:ascii="Times New Roman" w:eastAsia="PMingLiU" w:hAnsi="Times New Roman" w:cs="Times New Roman"/>
      <w:sz w:val="20"/>
      <w:szCs w:val="20"/>
      <w:lang w:eastAsia="zh-TW"/>
    </w:rPr>
  </w:style>
  <w:style w:type="character" w:styleId="FootnoteReference">
    <w:name w:val="footnote reference"/>
    <w:semiHidden/>
    <w:rsid w:val="001D5833"/>
    <w:rPr>
      <w:vertAlign w:val="superscript"/>
    </w:rPr>
  </w:style>
  <w:style w:type="paragraph" w:styleId="BodyText">
    <w:name w:val="Body Text"/>
    <w:basedOn w:val="Normal"/>
    <w:link w:val="BodyTextChar"/>
    <w:uiPriority w:val="99"/>
    <w:unhideWhenUsed/>
    <w:rsid w:val="001D5833"/>
    <w:pPr>
      <w:spacing w:after="120"/>
    </w:pPr>
  </w:style>
  <w:style w:type="character" w:customStyle="1" w:styleId="BodyTextChar">
    <w:name w:val="Body Text Char"/>
    <w:basedOn w:val="DefaultParagraphFont"/>
    <w:link w:val="BodyText"/>
    <w:uiPriority w:val="99"/>
    <w:rsid w:val="001D5833"/>
    <w:rPr>
      <w:rFonts w:ascii="Times New Roman" w:eastAsia="PMingLiU" w:hAnsi="Times New Roman" w:cs="Times New Roman"/>
      <w:lang w:val="en-GB" w:eastAsia="zh-TW"/>
    </w:rPr>
  </w:style>
  <w:style w:type="paragraph" w:styleId="Footer">
    <w:name w:val="footer"/>
    <w:basedOn w:val="Normal"/>
    <w:link w:val="FooterChar"/>
    <w:uiPriority w:val="99"/>
    <w:unhideWhenUsed/>
    <w:rsid w:val="001D58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5833"/>
    <w:rPr>
      <w:rFonts w:ascii="Times New Roman" w:eastAsia="PMingLiU" w:hAnsi="Times New Roman" w:cs="Times New Roman"/>
      <w:lang w:val="en-GB" w:eastAsia="zh-TW"/>
    </w:rPr>
  </w:style>
  <w:style w:type="character" w:styleId="Hyperlink">
    <w:name w:val="Hyperlink"/>
    <w:uiPriority w:val="99"/>
    <w:unhideWhenUsed/>
    <w:rsid w:val="001D5833"/>
    <w:rPr>
      <w:color w:val="0000FF"/>
      <w:u w:val="single"/>
    </w:rPr>
  </w:style>
  <w:style w:type="paragraph" w:styleId="TOC1">
    <w:name w:val="toc 1"/>
    <w:basedOn w:val="Normal"/>
    <w:next w:val="Normal"/>
    <w:autoRedefine/>
    <w:uiPriority w:val="39"/>
    <w:unhideWhenUsed/>
    <w:rsid w:val="001D5833"/>
    <w:pPr>
      <w:spacing w:after="100" w:line="259" w:lineRule="auto"/>
    </w:pPr>
    <w:rPr>
      <w:rFonts w:ascii="Calibri" w:eastAsia="SimSun" w:hAnsi="Calibri"/>
      <w:lang w:val="en-US" w:eastAsia="en-US"/>
    </w:rPr>
  </w:style>
  <w:style w:type="paragraph" w:styleId="BalloonText">
    <w:name w:val="Balloon Text"/>
    <w:basedOn w:val="Normal"/>
    <w:link w:val="BalloonTextChar"/>
    <w:uiPriority w:val="99"/>
    <w:semiHidden/>
    <w:unhideWhenUsed/>
    <w:rsid w:val="00D16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F45"/>
    <w:rPr>
      <w:rFonts w:ascii="Segoe UI" w:eastAsia="PMingLiU" w:hAnsi="Segoe UI" w:cs="Segoe UI"/>
      <w:sz w:val="18"/>
      <w:szCs w:val="18"/>
      <w:lang w:val="en-GB" w:eastAsia="zh-TW"/>
    </w:rPr>
  </w:style>
  <w:style w:type="character" w:styleId="FollowedHyperlink">
    <w:name w:val="FollowedHyperlink"/>
    <w:basedOn w:val="DefaultParagraphFont"/>
    <w:uiPriority w:val="99"/>
    <w:semiHidden/>
    <w:unhideWhenUsed/>
    <w:rsid w:val="00D737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www.hkex.com.hk/SiteCollectionImages/list_dot_red.gif" TargetMode="External"/><Relationship Id="rId18" Type="http://schemas.openxmlformats.org/officeDocument/2006/relationships/image" Target="http://www.hkex.com.hk/SiteCollectionImages/list_dot_red.gif" TargetMode="External"/><Relationship Id="rId3" Type="http://schemas.openxmlformats.org/officeDocument/2006/relationships/styles" Target="styles.xml"/><Relationship Id="rId21" Type="http://schemas.openxmlformats.org/officeDocument/2006/relationships/image" Target="http://www.hkex.com.hk/SiteCollectionImages/list_dot_red.gif" TargetMode="External"/><Relationship Id="rId7" Type="http://schemas.openxmlformats.org/officeDocument/2006/relationships/endnotes" Target="endnotes.xml"/><Relationship Id="rId12" Type="http://schemas.openxmlformats.org/officeDocument/2006/relationships/image" Target="http://www.hkex.com.hk/SiteCollectionImages/list_dot_red.gif" TargetMode="External"/><Relationship Id="rId17" Type="http://schemas.openxmlformats.org/officeDocument/2006/relationships/image" Target="http://www.hkex.com.hk/SiteCollectionImages/list_dot_red.gif" TargetMode="External"/><Relationship Id="rId2" Type="http://schemas.openxmlformats.org/officeDocument/2006/relationships/numbering" Target="numbering.xml"/><Relationship Id="rId16" Type="http://schemas.openxmlformats.org/officeDocument/2006/relationships/image" Target="http://www.hkex.com.hk/SiteCollectionImages/list_dot_red.gif" TargetMode="External"/><Relationship Id="rId20" Type="http://schemas.openxmlformats.org/officeDocument/2006/relationships/image" Target="http://www.hkex.com.hk/SiteCollectionImages/list_dot_red.g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www.hkex.com.hk/SiteCollectionImages/list_dot_red.gi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http://www.hkex.com.hk/SiteCollectionImages/list_dot_red.gi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http://www.hkex.com.hk/SiteCollectionImages/list_dot_red.gi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fc.hk/-/media/EN/assets/components/codes/files-current/web/codes/sfc-handbook-for-unit-trusts-and-mutual-funds/sfc-handbook-for-unit-trusts-and-mutual-fun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9D39F-1D1F-4ECC-BB03-BB73CA0C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6027</Words>
  <Characters>34357</Characters>
  <Application>Microsoft Office Word</Application>
  <DocSecurity>8</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Charltons</cp:lastModifiedBy>
  <cp:revision>5</cp:revision>
  <cp:lastPrinted>2021-04-15T03:04:00Z</cp:lastPrinted>
  <dcterms:created xsi:type="dcterms:W3CDTF">2021-03-29T07:35:00Z</dcterms:created>
  <dcterms:modified xsi:type="dcterms:W3CDTF">2021-04-15T03:20:00Z</dcterms:modified>
</cp:coreProperties>
</file>