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C879" w14:textId="119A74E4" w:rsidR="001E2257" w:rsidRPr="00C46FF7" w:rsidRDefault="001E2257" w:rsidP="001E2257">
      <w:pPr>
        <w:shd w:val="clear" w:color="auto" w:fill="000000"/>
        <w:spacing w:after="200"/>
        <w:jc w:val="center"/>
        <w:rPr>
          <w:rFonts w:ascii="Arial" w:eastAsia="Cambria" w:hAnsi="Arial" w:cs="Arial"/>
          <w:color w:val="FFFFFF"/>
          <w:sz w:val="24"/>
          <w:szCs w:val="24"/>
          <w:lang w:val="en-GB"/>
        </w:rPr>
      </w:pPr>
      <w:proofErr w:type="spellStart"/>
      <w:r w:rsidRPr="00C46FF7">
        <w:rPr>
          <w:rFonts w:ascii="Arial" w:eastAsia="Cambria" w:hAnsi="Arial" w:cs="Arial"/>
          <w:color w:val="FFFFFF"/>
          <w:sz w:val="24"/>
          <w:szCs w:val="24"/>
          <w:lang w:val="en-GB"/>
        </w:rPr>
        <w:t>Charltons</w:t>
      </w:r>
      <w:proofErr w:type="spellEnd"/>
      <w:r w:rsidRPr="00C46FF7">
        <w:rPr>
          <w:rFonts w:ascii="Arial" w:eastAsia="Cambria" w:hAnsi="Arial" w:cs="Arial"/>
          <w:color w:val="FFFFFF"/>
          <w:sz w:val="24"/>
          <w:szCs w:val="24"/>
          <w:lang w:val="en-GB"/>
        </w:rPr>
        <w:t xml:space="preserve"> - Hong Kong Law – </w:t>
      </w:r>
      <w:r w:rsidRPr="00271761">
        <w:rPr>
          <w:rFonts w:ascii="Arial" w:eastAsia="Cambria" w:hAnsi="Arial" w:cs="Arial"/>
          <w:color w:val="FFFFFF"/>
          <w:sz w:val="24"/>
          <w:szCs w:val="24"/>
        </w:rPr>
        <w:t>2</w:t>
      </w:r>
      <w:r>
        <w:rPr>
          <w:rFonts w:ascii="Arial" w:eastAsia="Cambria" w:hAnsi="Arial" w:cs="Arial"/>
          <w:color w:val="FFFFFF"/>
          <w:sz w:val="24"/>
          <w:szCs w:val="24"/>
        </w:rPr>
        <w:t>4</w:t>
      </w:r>
      <w:r>
        <w:rPr>
          <w:rFonts w:ascii="Arial" w:eastAsia="Cambria" w:hAnsi="Arial" w:cs="Arial"/>
          <w:color w:val="FFFFFF"/>
          <w:sz w:val="24"/>
          <w:szCs w:val="24"/>
          <w:lang w:val="en-GB"/>
        </w:rPr>
        <w:t xml:space="preserve"> April 2024</w:t>
      </w:r>
      <w:r w:rsidRPr="00C46FF7">
        <w:rPr>
          <w:rFonts w:ascii="Arial" w:eastAsia="Cambria" w:hAnsi="Arial" w:cs="Arial"/>
          <w:color w:val="FFFFFF"/>
          <w:sz w:val="24"/>
          <w:szCs w:val="24"/>
          <w:lang w:val="en-GB"/>
        </w:rPr>
        <w:t xml:space="preserve"> </w:t>
      </w:r>
    </w:p>
    <w:p w14:paraId="1978CEF8" w14:textId="3F0FBA25" w:rsidR="001E2257" w:rsidRPr="001E2257" w:rsidRDefault="001E2257" w:rsidP="001E2257">
      <w:pPr>
        <w:spacing w:after="200"/>
        <w:jc w:val="center"/>
        <w:rPr>
          <w:rFonts w:ascii="Arial" w:eastAsia="Cambria" w:hAnsi="Arial" w:cs="Arial"/>
          <w:color w:val="00000A"/>
          <w:sz w:val="28"/>
          <w:szCs w:val="24"/>
          <w:u w:val="single"/>
          <w:lang w:val="en-GB"/>
        </w:rPr>
      </w:pPr>
      <w:hyperlink r:id="rId8" w:history="1">
        <w:r w:rsidRPr="00251DF1">
          <w:rPr>
            <w:rStyle w:val="a3"/>
            <w:rFonts w:ascii="Arial" w:eastAsia="Cambria" w:hAnsi="Arial" w:cs="Arial"/>
            <w:sz w:val="28"/>
            <w:szCs w:val="24"/>
            <w:lang w:val="en-GB"/>
          </w:rPr>
          <w:t>Online version</w:t>
        </w:r>
      </w:hyperlink>
    </w:p>
    <w:p w14:paraId="0D4D734D" w14:textId="4C9F61D4" w:rsidR="00527BE6" w:rsidRPr="002F0F78" w:rsidRDefault="00876C69" w:rsidP="004D1795">
      <w:pPr>
        <w:spacing w:after="0"/>
        <w:rPr>
          <w:rFonts w:ascii="Arial" w:hAnsi="Arial" w:cs="Arial"/>
          <w:b/>
          <w:color w:val="FF0000"/>
          <w:szCs w:val="20"/>
          <w:lang w:eastAsia="zh-TW"/>
        </w:rPr>
      </w:pPr>
      <w:r>
        <w:rPr>
          <w:rFonts w:ascii="Arial" w:hAnsi="Arial" w:cs="Arial"/>
          <w:b/>
          <w:color w:val="FF0000"/>
          <w:szCs w:val="20"/>
          <w:lang w:eastAsia="zh-TW"/>
        </w:rPr>
        <w:t xml:space="preserve">HKEX </w:t>
      </w:r>
      <w:r w:rsidRPr="002F0F78">
        <w:rPr>
          <w:rFonts w:ascii="Arial" w:hAnsi="Arial" w:cs="Arial"/>
          <w:b/>
          <w:color w:val="FF0000"/>
          <w:szCs w:val="20"/>
          <w:lang w:eastAsia="zh-TW"/>
        </w:rPr>
        <w:t>Listing Rule</w:t>
      </w:r>
      <w:r>
        <w:rPr>
          <w:rFonts w:ascii="Arial" w:hAnsi="Arial" w:cs="Arial"/>
          <w:b/>
          <w:color w:val="FF0000"/>
          <w:szCs w:val="20"/>
          <w:lang w:eastAsia="zh-TW"/>
        </w:rPr>
        <w:t xml:space="preserve"> </w:t>
      </w:r>
      <w:r w:rsidR="00DA5701" w:rsidRPr="002F0F78">
        <w:rPr>
          <w:rFonts w:ascii="Arial" w:hAnsi="Arial" w:cs="Arial"/>
          <w:b/>
          <w:color w:val="FF0000"/>
          <w:szCs w:val="20"/>
          <w:lang w:eastAsia="zh-TW"/>
        </w:rPr>
        <w:t xml:space="preserve">Amendments </w:t>
      </w:r>
      <w:r>
        <w:rPr>
          <w:rFonts w:ascii="Arial" w:hAnsi="Arial" w:cs="Arial"/>
          <w:b/>
          <w:color w:val="FF0000"/>
          <w:szCs w:val="20"/>
          <w:lang w:eastAsia="zh-TW"/>
        </w:rPr>
        <w:t xml:space="preserve">Allowing </w:t>
      </w:r>
      <w:r w:rsidR="00DA5701" w:rsidRPr="002F0F78">
        <w:rPr>
          <w:rFonts w:ascii="Arial" w:hAnsi="Arial" w:cs="Arial"/>
          <w:b/>
          <w:color w:val="FF0000"/>
          <w:szCs w:val="20"/>
          <w:lang w:eastAsia="zh-TW"/>
        </w:rPr>
        <w:t xml:space="preserve">Treasury Shares </w:t>
      </w:r>
      <w:r>
        <w:rPr>
          <w:rFonts w:ascii="Arial" w:hAnsi="Arial" w:cs="Arial"/>
          <w:b/>
          <w:color w:val="FF0000"/>
          <w:szCs w:val="20"/>
          <w:lang w:eastAsia="zh-TW"/>
        </w:rPr>
        <w:t>Effective 11 June 2024</w:t>
      </w:r>
    </w:p>
    <w:p w14:paraId="6F4CFCA7" w14:textId="77777777" w:rsidR="00095EEC" w:rsidRPr="007470A8" w:rsidRDefault="00095EEC" w:rsidP="004D1795">
      <w:pPr>
        <w:spacing w:after="0"/>
        <w:jc w:val="both"/>
        <w:rPr>
          <w:rFonts w:ascii="Arial" w:hAnsi="Arial" w:cs="Arial"/>
          <w:sz w:val="20"/>
          <w:szCs w:val="20"/>
          <w:lang w:eastAsia="zh-TW"/>
        </w:rPr>
      </w:pPr>
    </w:p>
    <w:p w14:paraId="77858EE5" w14:textId="77777777" w:rsidR="00E97493" w:rsidRDefault="00CE5153" w:rsidP="004D1795">
      <w:pPr>
        <w:spacing w:after="0"/>
        <w:jc w:val="both"/>
        <w:rPr>
          <w:rFonts w:ascii="Arial" w:hAnsi="Arial" w:cs="Arial"/>
          <w:sz w:val="20"/>
          <w:szCs w:val="20"/>
          <w:lang w:eastAsia="zh-TW"/>
        </w:rPr>
      </w:pPr>
      <w:r>
        <w:rPr>
          <w:rFonts w:ascii="Arial" w:hAnsi="Arial" w:cs="Arial"/>
          <w:sz w:val="20"/>
          <w:szCs w:val="20"/>
          <w:lang w:eastAsia="zh-TW"/>
        </w:rPr>
        <w:t>T</w:t>
      </w:r>
      <w:r w:rsidR="00DA5701" w:rsidRPr="007470A8">
        <w:rPr>
          <w:rFonts w:ascii="Arial" w:hAnsi="Arial" w:cs="Arial"/>
          <w:sz w:val="20"/>
          <w:szCs w:val="20"/>
          <w:lang w:eastAsia="zh-TW"/>
        </w:rPr>
        <w:t>he Stock Exchange of Hong Kong Limited (</w:t>
      </w:r>
      <w:r w:rsidR="00DA5701" w:rsidRPr="00531011">
        <w:rPr>
          <w:rFonts w:ascii="Arial" w:hAnsi="Arial" w:cs="Arial"/>
          <w:b/>
          <w:sz w:val="20"/>
          <w:szCs w:val="20"/>
          <w:lang w:eastAsia="zh-TW"/>
        </w:rPr>
        <w:t>HKEX</w:t>
      </w:r>
      <w:r w:rsidR="00DA5701" w:rsidRPr="007470A8">
        <w:rPr>
          <w:rFonts w:ascii="Arial" w:hAnsi="Arial" w:cs="Arial"/>
          <w:sz w:val="20"/>
          <w:szCs w:val="20"/>
          <w:lang w:eastAsia="zh-TW"/>
        </w:rPr>
        <w:t xml:space="preserve">) </w:t>
      </w:r>
      <w:r w:rsidR="00876C69">
        <w:rPr>
          <w:rFonts w:ascii="Arial" w:hAnsi="Arial" w:cs="Arial"/>
          <w:sz w:val="20"/>
          <w:szCs w:val="20"/>
          <w:lang w:eastAsia="zh-TW"/>
        </w:rPr>
        <w:t xml:space="preserve">has </w:t>
      </w:r>
      <w:r w:rsidR="00DA5701" w:rsidRPr="007470A8">
        <w:rPr>
          <w:rFonts w:ascii="Arial" w:hAnsi="Arial" w:cs="Arial"/>
          <w:sz w:val="20"/>
          <w:szCs w:val="20"/>
          <w:lang w:eastAsia="zh-TW"/>
        </w:rPr>
        <w:t xml:space="preserve">published </w:t>
      </w:r>
      <w:r w:rsidR="00876C69">
        <w:rPr>
          <w:rFonts w:ascii="Arial" w:hAnsi="Arial" w:cs="Arial"/>
          <w:sz w:val="20"/>
          <w:szCs w:val="20"/>
          <w:lang w:eastAsia="zh-TW"/>
        </w:rPr>
        <w:t xml:space="preserve">amendments to the Main Board </w:t>
      </w:r>
      <w:r w:rsidR="00567ADA">
        <w:rPr>
          <w:rFonts w:ascii="Arial" w:hAnsi="Arial" w:cs="Arial"/>
          <w:sz w:val="20"/>
          <w:szCs w:val="20"/>
          <w:lang w:eastAsia="zh-TW"/>
        </w:rPr>
        <w:t>(</w:t>
      </w:r>
      <w:r w:rsidR="00567ADA" w:rsidRPr="00531011">
        <w:rPr>
          <w:rFonts w:ascii="Arial" w:hAnsi="Arial" w:cs="Arial"/>
          <w:b/>
          <w:sz w:val="20"/>
          <w:szCs w:val="20"/>
          <w:lang w:eastAsia="zh-TW"/>
        </w:rPr>
        <w:t>MB Rules</w:t>
      </w:r>
      <w:r w:rsidR="00567ADA">
        <w:rPr>
          <w:rFonts w:ascii="Arial" w:hAnsi="Arial" w:cs="Arial"/>
          <w:sz w:val="20"/>
          <w:szCs w:val="20"/>
          <w:lang w:eastAsia="zh-TW"/>
        </w:rPr>
        <w:t xml:space="preserve">) </w:t>
      </w:r>
      <w:r w:rsidR="00876C69">
        <w:rPr>
          <w:rFonts w:ascii="Arial" w:hAnsi="Arial" w:cs="Arial"/>
          <w:sz w:val="20"/>
          <w:szCs w:val="20"/>
          <w:lang w:eastAsia="zh-TW"/>
        </w:rPr>
        <w:t xml:space="preserve">and GEM Listing Rules </w:t>
      </w:r>
      <w:r w:rsidR="00567ADA">
        <w:rPr>
          <w:rFonts w:ascii="Arial" w:hAnsi="Arial" w:cs="Arial"/>
          <w:sz w:val="20"/>
          <w:szCs w:val="20"/>
          <w:lang w:eastAsia="zh-TW"/>
        </w:rPr>
        <w:t>(</w:t>
      </w:r>
      <w:r w:rsidR="00567ADA" w:rsidRPr="00531011">
        <w:rPr>
          <w:rFonts w:ascii="Arial" w:hAnsi="Arial" w:cs="Arial"/>
          <w:b/>
          <w:sz w:val="20"/>
          <w:szCs w:val="20"/>
          <w:lang w:eastAsia="zh-TW"/>
        </w:rPr>
        <w:t>GEM Rules</w:t>
      </w:r>
      <w:r w:rsidR="00567ADA">
        <w:rPr>
          <w:rFonts w:ascii="Arial" w:hAnsi="Arial" w:cs="Arial"/>
          <w:sz w:val="20"/>
          <w:szCs w:val="20"/>
          <w:lang w:eastAsia="zh-TW"/>
        </w:rPr>
        <w:t>) which</w:t>
      </w:r>
      <w:r w:rsidR="00876C69">
        <w:rPr>
          <w:rFonts w:ascii="Arial" w:hAnsi="Arial" w:cs="Arial"/>
          <w:sz w:val="20"/>
          <w:szCs w:val="20"/>
          <w:lang w:eastAsia="zh-TW"/>
        </w:rPr>
        <w:t xml:space="preserve"> will allow HKEX-listed companies to issue and hold treasury shares</w:t>
      </w:r>
      <w:r w:rsidR="00E97493">
        <w:rPr>
          <w:rFonts w:ascii="Arial" w:hAnsi="Arial" w:cs="Arial"/>
          <w:sz w:val="20"/>
          <w:szCs w:val="20"/>
          <w:lang w:eastAsia="zh-TW"/>
        </w:rPr>
        <w:t>,</w:t>
      </w:r>
      <w:r w:rsidR="00876C69">
        <w:rPr>
          <w:rFonts w:ascii="Arial" w:hAnsi="Arial" w:cs="Arial"/>
          <w:sz w:val="20"/>
          <w:szCs w:val="20"/>
          <w:lang w:eastAsia="zh-TW"/>
        </w:rPr>
        <w:t xml:space="preserve"> </w:t>
      </w:r>
      <w:r w:rsidR="00CF1271">
        <w:rPr>
          <w:rFonts w:ascii="Arial" w:hAnsi="Arial" w:cs="Arial"/>
          <w:sz w:val="20"/>
          <w:szCs w:val="20"/>
          <w:lang w:eastAsia="zh-TW"/>
        </w:rPr>
        <w:t>provided this</w:t>
      </w:r>
      <w:r w:rsidR="00593DFE">
        <w:rPr>
          <w:rFonts w:ascii="Arial" w:hAnsi="Arial" w:cs="Arial"/>
          <w:sz w:val="20"/>
          <w:szCs w:val="20"/>
          <w:lang w:eastAsia="zh-TW"/>
        </w:rPr>
        <w:t xml:space="preserve"> is</w:t>
      </w:r>
      <w:r w:rsidR="00CF1271">
        <w:rPr>
          <w:rFonts w:ascii="Arial" w:hAnsi="Arial" w:cs="Arial"/>
          <w:sz w:val="20"/>
          <w:szCs w:val="20"/>
          <w:lang w:eastAsia="zh-TW"/>
        </w:rPr>
        <w:t xml:space="preserve"> </w:t>
      </w:r>
      <w:r w:rsidR="00876C69">
        <w:rPr>
          <w:rFonts w:ascii="Arial" w:hAnsi="Arial" w:cs="Arial"/>
          <w:sz w:val="20"/>
          <w:szCs w:val="20"/>
          <w:lang w:eastAsia="zh-TW"/>
        </w:rPr>
        <w:t xml:space="preserve">allowed by the laws of their country of incorporation and their constitutional documents. The Listing Rule amendments will take effect on 11 June 2024 and are set out in Appendix IV (Main Board) and Appendix V (GEM) of the HKEX’s </w:t>
      </w:r>
      <w:hyperlink r:id="rId9" w:history="1">
        <w:r w:rsidR="00DA5701" w:rsidRPr="007470A8">
          <w:rPr>
            <w:rStyle w:val="a3"/>
            <w:rFonts w:ascii="Arial" w:hAnsi="Arial" w:cs="Arial"/>
            <w:sz w:val="20"/>
            <w:szCs w:val="20"/>
            <w:lang w:eastAsia="zh-TW"/>
          </w:rPr>
          <w:t>Consultation Conclusion</w:t>
        </w:r>
        <w:r w:rsidR="00876C69">
          <w:rPr>
            <w:rStyle w:val="a3"/>
            <w:rFonts w:ascii="Arial" w:hAnsi="Arial" w:cs="Arial"/>
            <w:sz w:val="20"/>
            <w:szCs w:val="20"/>
            <w:lang w:eastAsia="zh-TW"/>
          </w:rPr>
          <w:t>s – Proposed Amendments to Listing Rules Relating to Treasury Share</w:t>
        </w:r>
        <w:r w:rsidR="00DA5701" w:rsidRPr="007470A8">
          <w:rPr>
            <w:rStyle w:val="a3"/>
            <w:rFonts w:ascii="Arial" w:hAnsi="Arial" w:cs="Arial"/>
            <w:sz w:val="20"/>
            <w:szCs w:val="20"/>
            <w:lang w:eastAsia="zh-TW"/>
          </w:rPr>
          <w:t>s</w:t>
        </w:r>
      </w:hyperlink>
      <w:r w:rsidR="00567ADA" w:rsidRPr="001E2257">
        <w:rPr>
          <w:rStyle w:val="a3"/>
          <w:rFonts w:ascii="Arial" w:hAnsi="Arial" w:cs="Arial"/>
          <w:color w:val="000000" w:themeColor="text1"/>
          <w:sz w:val="20"/>
          <w:szCs w:val="20"/>
          <w:u w:val="none"/>
          <w:lang w:eastAsia="zh-TW"/>
        </w:rPr>
        <w:t>, published on 12 April 2024</w:t>
      </w:r>
      <w:r w:rsidR="00567ADA" w:rsidRPr="007470A8">
        <w:rPr>
          <w:rFonts w:ascii="Arial" w:hAnsi="Arial" w:cs="Arial"/>
          <w:sz w:val="20"/>
          <w:szCs w:val="20"/>
          <w:lang w:eastAsia="zh-TW"/>
        </w:rPr>
        <w:t xml:space="preserve">. HKEX-listed companies that are incorporated overseas </w:t>
      </w:r>
      <w:r w:rsidR="00567ADA">
        <w:rPr>
          <w:rFonts w:ascii="Arial" w:hAnsi="Arial" w:cs="Arial"/>
          <w:sz w:val="20"/>
          <w:szCs w:val="20"/>
          <w:lang w:eastAsia="zh-TW"/>
        </w:rPr>
        <w:t xml:space="preserve">that </w:t>
      </w:r>
      <w:r w:rsidR="00567ADA" w:rsidRPr="007470A8">
        <w:rPr>
          <w:rFonts w:ascii="Arial" w:hAnsi="Arial" w:cs="Arial"/>
          <w:sz w:val="20"/>
          <w:szCs w:val="20"/>
          <w:lang w:eastAsia="zh-TW"/>
        </w:rPr>
        <w:t xml:space="preserve">have </w:t>
      </w:r>
      <w:r w:rsidR="00567ADA">
        <w:rPr>
          <w:rFonts w:ascii="Arial" w:hAnsi="Arial" w:cs="Arial"/>
          <w:sz w:val="20"/>
          <w:szCs w:val="20"/>
          <w:lang w:eastAsia="zh-TW"/>
        </w:rPr>
        <w:t xml:space="preserve">been granted </w:t>
      </w:r>
      <w:r w:rsidR="00567ADA" w:rsidRPr="007470A8">
        <w:rPr>
          <w:rFonts w:ascii="Arial" w:hAnsi="Arial" w:cs="Arial"/>
          <w:sz w:val="20"/>
          <w:szCs w:val="20"/>
          <w:lang w:eastAsia="zh-TW"/>
        </w:rPr>
        <w:t>waivers from compliance with the requireme</w:t>
      </w:r>
      <w:r w:rsidR="00567ADA">
        <w:rPr>
          <w:rFonts w:ascii="Arial" w:hAnsi="Arial" w:cs="Arial"/>
          <w:sz w:val="20"/>
          <w:szCs w:val="20"/>
          <w:lang w:eastAsia="zh-TW"/>
        </w:rPr>
        <w:t>nt to cancel repurchased shares will be allowed</w:t>
      </w:r>
      <w:r w:rsidR="00567ADA" w:rsidRPr="007470A8">
        <w:rPr>
          <w:rFonts w:ascii="Arial" w:hAnsi="Arial" w:cs="Arial"/>
          <w:sz w:val="20"/>
          <w:szCs w:val="20"/>
          <w:lang w:eastAsia="zh-TW"/>
        </w:rPr>
        <w:t xml:space="preserve"> a transition period from </w:t>
      </w:r>
      <w:r w:rsidR="00567ADA">
        <w:rPr>
          <w:rFonts w:ascii="Arial" w:hAnsi="Arial" w:cs="Arial"/>
          <w:sz w:val="20"/>
          <w:szCs w:val="20"/>
          <w:lang w:eastAsia="zh-TW"/>
        </w:rPr>
        <w:t xml:space="preserve">11 June 2024 until </w:t>
      </w:r>
      <w:r w:rsidR="00567ADA" w:rsidRPr="007470A8">
        <w:rPr>
          <w:rFonts w:ascii="Arial" w:hAnsi="Arial" w:cs="Arial"/>
          <w:sz w:val="20"/>
          <w:szCs w:val="20"/>
          <w:lang w:eastAsia="zh-TW"/>
        </w:rPr>
        <w:t xml:space="preserve">their second annual general meeting </w:t>
      </w:r>
      <w:r w:rsidR="00567ADA">
        <w:rPr>
          <w:rFonts w:ascii="Arial" w:hAnsi="Arial" w:cs="Arial"/>
          <w:sz w:val="20"/>
          <w:szCs w:val="20"/>
          <w:lang w:eastAsia="zh-TW"/>
        </w:rPr>
        <w:t>after 11 June 2024.</w:t>
      </w:r>
      <w:r w:rsidR="00CF1271">
        <w:rPr>
          <w:rFonts w:ascii="Arial" w:hAnsi="Arial" w:cs="Arial"/>
          <w:sz w:val="20"/>
          <w:szCs w:val="20"/>
          <w:lang w:eastAsia="zh-TW"/>
        </w:rPr>
        <w:t xml:space="preserve"> The HKEX is </w:t>
      </w:r>
      <w:r w:rsidR="00CF1271" w:rsidRPr="007470A8">
        <w:rPr>
          <w:rFonts w:ascii="Arial" w:hAnsi="Arial" w:cs="Arial"/>
          <w:sz w:val="20"/>
          <w:szCs w:val="20"/>
          <w:lang w:eastAsia="zh-TW"/>
        </w:rPr>
        <w:t>implement</w:t>
      </w:r>
      <w:r w:rsidR="00CF1271">
        <w:rPr>
          <w:rFonts w:ascii="Arial" w:hAnsi="Arial" w:cs="Arial"/>
          <w:sz w:val="20"/>
          <w:szCs w:val="20"/>
          <w:lang w:eastAsia="zh-TW"/>
        </w:rPr>
        <w:t>ing</w:t>
      </w:r>
      <w:r w:rsidR="00CF1271" w:rsidRPr="007470A8">
        <w:rPr>
          <w:rFonts w:ascii="Arial" w:hAnsi="Arial" w:cs="Arial"/>
          <w:sz w:val="20"/>
          <w:szCs w:val="20"/>
          <w:lang w:eastAsia="zh-TW"/>
        </w:rPr>
        <w:t xml:space="preserve"> </w:t>
      </w:r>
      <w:r w:rsidR="00CF1271">
        <w:rPr>
          <w:rFonts w:ascii="Arial" w:hAnsi="Arial" w:cs="Arial"/>
          <w:sz w:val="20"/>
          <w:szCs w:val="20"/>
          <w:lang w:eastAsia="zh-TW"/>
        </w:rPr>
        <w:t>all its</w:t>
      </w:r>
      <w:r w:rsidR="00CF1271" w:rsidRPr="007470A8">
        <w:rPr>
          <w:rFonts w:ascii="Arial" w:hAnsi="Arial" w:cs="Arial"/>
          <w:sz w:val="20"/>
          <w:szCs w:val="20"/>
          <w:lang w:eastAsia="zh-TW"/>
        </w:rPr>
        <w:t xml:space="preserve"> proposed </w:t>
      </w:r>
      <w:r w:rsidR="00CF1271">
        <w:rPr>
          <w:rFonts w:ascii="Arial" w:hAnsi="Arial" w:cs="Arial"/>
          <w:sz w:val="20"/>
          <w:szCs w:val="20"/>
          <w:lang w:eastAsia="zh-TW"/>
        </w:rPr>
        <w:t>Listing Rule</w:t>
      </w:r>
      <w:r w:rsidR="00CF1271" w:rsidRPr="007470A8">
        <w:rPr>
          <w:rFonts w:ascii="Arial" w:hAnsi="Arial" w:cs="Arial"/>
          <w:sz w:val="20"/>
          <w:szCs w:val="20"/>
          <w:lang w:eastAsia="zh-TW"/>
        </w:rPr>
        <w:t xml:space="preserve"> amendments with some </w:t>
      </w:r>
      <w:r w:rsidR="00CF1271">
        <w:rPr>
          <w:rFonts w:ascii="Arial" w:hAnsi="Arial" w:cs="Arial"/>
          <w:sz w:val="20"/>
          <w:szCs w:val="20"/>
          <w:lang w:eastAsia="zh-TW"/>
        </w:rPr>
        <w:t>changes to reflect comments received from respondents to the consultation.</w:t>
      </w:r>
    </w:p>
    <w:p w14:paraId="59C7EDB0" w14:textId="77777777" w:rsidR="00E97493" w:rsidRDefault="00E97493" w:rsidP="004D1795">
      <w:pPr>
        <w:spacing w:after="0"/>
        <w:jc w:val="both"/>
        <w:rPr>
          <w:rFonts w:ascii="Arial" w:hAnsi="Arial" w:cs="Arial"/>
          <w:sz w:val="20"/>
          <w:szCs w:val="20"/>
          <w:lang w:eastAsia="zh-TW"/>
        </w:rPr>
      </w:pPr>
    </w:p>
    <w:p w14:paraId="65F65493" w14:textId="77777777" w:rsidR="00095EEC" w:rsidRDefault="00E97493" w:rsidP="004D1795">
      <w:pPr>
        <w:spacing w:after="0"/>
        <w:jc w:val="both"/>
        <w:rPr>
          <w:rFonts w:ascii="Arial" w:hAnsi="Arial" w:cs="Arial"/>
          <w:sz w:val="20"/>
          <w:szCs w:val="20"/>
          <w:lang w:eastAsia="zh-TW"/>
        </w:rPr>
      </w:pPr>
      <w:r>
        <w:rPr>
          <w:rFonts w:ascii="Arial" w:hAnsi="Arial" w:cs="Arial"/>
          <w:sz w:val="20"/>
          <w:szCs w:val="20"/>
          <w:lang w:eastAsia="zh-TW"/>
        </w:rPr>
        <w:t>T</w:t>
      </w:r>
      <w:r w:rsidR="00DA5701" w:rsidRPr="007470A8">
        <w:rPr>
          <w:rFonts w:ascii="Arial" w:hAnsi="Arial" w:cs="Arial"/>
          <w:sz w:val="20"/>
          <w:szCs w:val="20"/>
          <w:lang w:eastAsia="zh-TW"/>
        </w:rPr>
        <w:t xml:space="preserve">he HKEX also published </w:t>
      </w:r>
      <w:r w:rsidR="00422CDF">
        <w:rPr>
          <w:rFonts w:ascii="Arial" w:hAnsi="Arial" w:cs="Arial"/>
          <w:sz w:val="20"/>
          <w:szCs w:val="20"/>
          <w:lang w:eastAsia="zh-TW"/>
        </w:rPr>
        <w:t xml:space="preserve">a </w:t>
      </w:r>
      <w:r w:rsidR="00DA5701" w:rsidRPr="007470A8">
        <w:rPr>
          <w:rFonts w:ascii="Arial" w:hAnsi="Arial" w:cs="Arial"/>
          <w:sz w:val="20"/>
          <w:szCs w:val="20"/>
          <w:lang w:eastAsia="zh-TW"/>
        </w:rPr>
        <w:t xml:space="preserve">new </w:t>
      </w:r>
      <w:hyperlink r:id="rId10" w:history="1">
        <w:r w:rsidR="00DA5701" w:rsidRPr="007470A8">
          <w:rPr>
            <w:rStyle w:val="a3"/>
            <w:rFonts w:ascii="Arial" w:hAnsi="Arial" w:cs="Arial"/>
            <w:sz w:val="20"/>
            <w:szCs w:val="20"/>
            <w:lang w:eastAsia="zh-TW"/>
          </w:rPr>
          <w:t xml:space="preserve">Guidance Letter </w:t>
        </w:r>
        <w:r w:rsidR="00B12A26">
          <w:rPr>
            <w:rStyle w:val="a3"/>
            <w:rFonts w:ascii="Arial" w:hAnsi="Arial" w:cs="Arial"/>
            <w:sz w:val="20"/>
            <w:szCs w:val="20"/>
            <w:lang w:eastAsia="zh-TW"/>
          </w:rPr>
          <w:t>HKEX-</w:t>
        </w:r>
        <w:r w:rsidR="00DA5701" w:rsidRPr="007470A8">
          <w:rPr>
            <w:rStyle w:val="a3"/>
            <w:rFonts w:ascii="Arial" w:hAnsi="Arial" w:cs="Arial"/>
            <w:sz w:val="20"/>
            <w:szCs w:val="20"/>
            <w:lang w:eastAsia="zh-TW"/>
          </w:rPr>
          <w:t>GL119-24</w:t>
        </w:r>
      </w:hyperlink>
      <w:r w:rsidR="00DA5701" w:rsidRPr="007470A8">
        <w:rPr>
          <w:rFonts w:ascii="Arial" w:hAnsi="Arial" w:cs="Arial"/>
          <w:sz w:val="20"/>
          <w:szCs w:val="20"/>
          <w:lang w:eastAsia="zh-TW"/>
        </w:rPr>
        <w:t xml:space="preserve"> </w:t>
      </w:r>
      <w:r w:rsidR="00B12A26">
        <w:rPr>
          <w:rFonts w:ascii="Arial" w:hAnsi="Arial" w:cs="Arial"/>
          <w:sz w:val="20"/>
          <w:szCs w:val="20"/>
          <w:lang w:eastAsia="zh-TW"/>
        </w:rPr>
        <w:t>(</w:t>
      </w:r>
      <w:r w:rsidR="00B12A26" w:rsidRPr="00B12A26">
        <w:rPr>
          <w:rFonts w:ascii="Arial" w:hAnsi="Arial" w:cs="Arial"/>
          <w:b/>
          <w:sz w:val="20"/>
          <w:szCs w:val="20"/>
          <w:lang w:eastAsia="zh-TW"/>
        </w:rPr>
        <w:t>GL119-24</w:t>
      </w:r>
      <w:r w:rsidR="00B12A26">
        <w:rPr>
          <w:rFonts w:ascii="Arial" w:hAnsi="Arial" w:cs="Arial"/>
          <w:sz w:val="20"/>
          <w:szCs w:val="20"/>
          <w:lang w:eastAsia="zh-TW"/>
        </w:rPr>
        <w:t>) (</w:t>
      </w:r>
      <w:r w:rsidR="00DA5701" w:rsidRPr="007470A8">
        <w:rPr>
          <w:rFonts w:ascii="Arial" w:hAnsi="Arial" w:cs="Arial"/>
          <w:sz w:val="20"/>
          <w:szCs w:val="20"/>
          <w:lang w:eastAsia="zh-TW"/>
        </w:rPr>
        <w:t>explaining the treasury share arrangements</w:t>
      </w:r>
      <w:r w:rsidR="002403BE" w:rsidRPr="007470A8">
        <w:rPr>
          <w:rFonts w:ascii="Arial" w:hAnsi="Arial" w:cs="Arial"/>
          <w:sz w:val="20"/>
          <w:szCs w:val="20"/>
          <w:lang w:eastAsia="zh-TW"/>
        </w:rPr>
        <w:t xml:space="preserve"> on the Central Clearing and Settlement System (</w:t>
      </w:r>
      <w:r w:rsidR="002403BE" w:rsidRPr="007470A8">
        <w:rPr>
          <w:rFonts w:ascii="Arial" w:hAnsi="Arial" w:cs="Arial"/>
          <w:b/>
          <w:sz w:val="20"/>
          <w:szCs w:val="20"/>
          <w:lang w:eastAsia="zh-TW"/>
        </w:rPr>
        <w:t>CCASS</w:t>
      </w:r>
      <w:r w:rsidR="002403BE" w:rsidRPr="007470A8">
        <w:rPr>
          <w:rFonts w:ascii="Arial" w:hAnsi="Arial" w:cs="Arial"/>
          <w:sz w:val="20"/>
          <w:szCs w:val="20"/>
          <w:lang w:eastAsia="zh-TW"/>
        </w:rPr>
        <w:t>)</w:t>
      </w:r>
      <w:r w:rsidR="00DA5701" w:rsidRPr="007470A8">
        <w:rPr>
          <w:rFonts w:ascii="Arial" w:hAnsi="Arial" w:cs="Arial"/>
          <w:sz w:val="20"/>
          <w:szCs w:val="20"/>
          <w:lang w:eastAsia="zh-TW"/>
        </w:rPr>
        <w:t xml:space="preserve"> </w:t>
      </w:r>
      <w:r>
        <w:rPr>
          <w:rFonts w:ascii="Arial" w:hAnsi="Arial" w:cs="Arial"/>
          <w:sz w:val="20"/>
          <w:szCs w:val="20"/>
          <w:lang w:eastAsia="zh-TW"/>
        </w:rPr>
        <w:t xml:space="preserve">and </w:t>
      </w:r>
      <w:hyperlink r:id="rId11" w:history="1">
        <w:r w:rsidR="00DA5701" w:rsidRPr="007470A8">
          <w:rPr>
            <w:rStyle w:val="a3"/>
            <w:rFonts w:ascii="Arial" w:hAnsi="Arial" w:cs="Arial"/>
            <w:sz w:val="20"/>
            <w:szCs w:val="20"/>
            <w:lang w:eastAsia="zh-TW"/>
          </w:rPr>
          <w:t>frequently asked questions</w:t>
        </w:r>
      </w:hyperlink>
      <w:r w:rsidR="00DA5701" w:rsidRPr="007470A8">
        <w:rPr>
          <w:rFonts w:ascii="Arial" w:hAnsi="Arial" w:cs="Arial"/>
          <w:sz w:val="20"/>
          <w:szCs w:val="20"/>
          <w:lang w:eastAsia="zh-TW"/>
        </w:rPr>
        <w:t xml:space="preserve"> about treasury shares. For a summary of the original </w:t>
      </w:r>
      <w:hyperlink r:id="rId12" w:history="1">
        <w:r w:rsidR="00DA5701" w:rsidRPr="00E97493">
          <w:rPr>
            <w:rStyle w:val="a3"/>
            <w:rFonts w:ascii="Arial" w:hAnsi="Arial" w:cs="Arial"/>
            <w:sz w:val="20"/>
            <w:szCs w:val="20"/>
            <w:lang w:eastAsia="zh-TW"/>
          </w:rPr>
          <w:t>Consultation Paper</w:t>
        </w:r>
        <w:r w:rsidRPr="00E97493">
          <w:rPr>
            <w:rStyle w:val="a3"/>
            <w:rFonts w:ascii="Arial" w:hAnsi="Arial" w:cs="Arial"/>
            <w:sz w:val="20"/>
            <w:szCs w:val="20"/>
            <w:lang w:eastAsia="zh-TW"/>
          </w:rPr>
          <w:t>’s</w:t>
        </w:r>
      </w:hyperlink>
      <w:r>
        <w:rPr>
          <w:rFonts w:ascii="Arial" w:hAnsi="Arial" w:cs="Arial"/>
          <w:sz w:val="20"/>
          <w:szCs w:val="20"/>
          <w:lang w:eastAsia="zh-TW"/>
        </w:rPr>
        <w:t xml:space="preserve"> proposals</w:t>
      </w:r>
      <w:r w:rsidR="00DA5701" w:rsidRPr="007470A8">
        <w:rPr>
          <w:rFonts w:ascii="Arial" w:hAnsi="Arial" w:cs="Arial"/>
          <w:sz w:val="20"/>
          <w:szCs w:val="20"/>
          <w:lang w:eastAsia="zh-TW"/>
        </w:rPr>
        <w:t xml:space="preserve">, please see </w:t>
      </w:r>
      <w:hyperlink r:id="rId13" w:history="1">
        <w:r w:rsidR="00DA5701" w:rsidRPr="007470A8">
          <w:rPr>
            <w:rStyle w:val="a3"/>
            <w:rFonts w:ascii="Arial" w:hAnsi="Arial" w:cs="Arial"/>
            <w:sz w:val="20"/>
            <w:szCs w:val="20"/>
            <w:lang w:eastAsia="zh-TW"/>
          </w:rPr>
          <w:t>Charltons’ November 2023 newsletter</w:t>
        </w:r>
      </w:hyperlink>
      <w:r w:rsidR="00DA5701" w:rsidRPr="007470A8">
        <w:rPr>
          <w:rFonts w:ascii="Arial" w:hAnsi="Arial" w:cs="Arial"/>
          <w:sz w:val="20"/>
          <w:szCs w:val="20"/>
          <w:lang w:eastAsia="zh-TW"/>
        </w:rPr>
        <w:t xml:space="preserve">. </w:t>
      </w:r>
    </w:p>
    <w:p w14:paraId="36176ADD" w14:textId="77777777" w:rsidR="00567ADA" w:rsidRPr="007470A8" w:rsidRDefault="00567ADA" w:rsidP="004D1795">
      <w:pPr>
        <w:spacing w:after="0"/>
        <w:jc w:val="both"/>
        <w:rPr>
          <w:rFonts w:ascii="Arial" w:hAnsi="Arial" w:cs="Arial"/>
          <w:sz w:val="20"/>
          <w:szCs w:val="20"/>
          <w:lang w:eastAsia="zh-TW"/>
        </w:rPr>
      </w:pPr>
    </w:p>
    <w:p w14:paraId="3B6B637F" w14:textId="77777777" w:rsidR="00567ADA" w:rsidRDefault="00DA5701" w:rsidP="004D1795">
      <w:pPr>
        <w:spacing w:after="0"/>
        <w:rPr>
          <w:rFonts w:ascii="Arial" w:hAnsi="Arial" w:cs="Arial"/>
          <w:b/>
          <w:color w:val="FF0000"/>
          <w:sz w:val="20"/>
          <w:szCs w:val="20"/>
          <w:lang w:eastAsia="zh-TW"/>
        </w:rPr>
      </w:pPr>
      <w:r w:rsidRPr="00567ADA">
        <w:rPr>
          <w:rFonts w:ascii="Arial" w:hAnsi="Arial" w:cs="Arial"/>
          <w:b/>
          <w:color w:val="FF0000"/>
          <w:sz w:val="20"/>
          <w:szCs w:val="20"/>
          <w:lang w:eastAsia="zh-TW"/>
        </w:rPr>
        <w:t xml:space="preserve">Key </w:t>
      </w:r>
      <w:r w:rsidR="00567ADA">
        <w:rPr>
          <w:rFonts w:ascii="Arial" w:hAnsi="Arial" w:cs="Arial"/>
          <w:b/>
          <w:color w:val="FF0000"/>
          <w:sz w:val="20"/>
          <w:szCs w:val="20"/>
          <w:lang w:eastAsia="zh-TW"/>
        </w:rPr>
        <w:t xml:space="preserve">Listing Rule Amendments </w:t>
      </w:r>
    </w:p>
    <w:p w14:paraId="21D4D65B" w14:textId="77777777" w:rsidR="00866E83" w:rsidRPr="00567ADA" w:rsidRDefault="00DA5701" w:rsidP="004D1795">
      <w:pPr>
        <w:spacing w:after="0"/>
        <w:rPr>
          <w:rFonts w:ascii="Arial" w:hAnsi="Arial" w:cs="Arial"/>
          <w:b/>
          <w:color w:val="FF0000"/>
          <w:sz w:val="20"/>
          <w:szCs w:val="20"/>
          <w:lang w:eastAsia="zh-TW"/>
        </w:rPr>
      </w:pPr>
      <w:r w:rsidRPr="00567ADA">
        <w:rPr>
          <w:rFonts w:ascii="Arial" w:hAnsi="Arial" w:cs="Arial"/>
          <w:b/>
          <w:color w:val="FF0000"/>
          <w:sz w:val="20"/>
          <w:szCs w:val="20"/>
          <w:lang w:eastAsia="zh-TW"/>
        </w:rPr>
        <w:t xml:space="preserve"> </w:t>
      </w:r>
    </w:p>
    <w:p w14:paraId="7D302504" w14:textId="77777777" w:rsidR="00095EEC" w:rsidRDefault="00DA5701" w:rsidP="004D1795">
      <w:pPr>
        <w:spacing w:after="0"/>
        <w:jc w:val="both"/>
        <w:rPr>
          <w:rFonts w:ascii="Arial" w:hAnsi="Arial" w:cs="Arial"/>
          <w:sz w:val="20"/>
          <w:szCs w:val="20"/>
          <w:lang w:eastAsia="zh-TW"/>
        </w:rPr>
      </w:pPr>
      <w:r w:rsidRPr="007470A8">
        <w:rPr>
          <w:rFonts w:ascii="Arial" w:hAnsi="Arial" w:cs="Arial"/>
          <w:sz w:val="20"/>
          <w:szCs w:val="20"/>
          <w:lang w:eastAsia="zh-TW"/>
        </w:rPr>
        <w:t xml:space="preserve">The following amendments will be made to the Listing Rules </w:t>
      </w:r>
      <w:r w:rsidR="00CF1271">
        <w:rPr>
          <w:rFonts w:ascii="Arial" w:hAnsi="Arial" w:cs="Arial"/>
          <w:sz w:val="20"/>
          <w:szCs w:val="20"/>
          <w:lang w:eastAsia="zh-TW"/>
        </w:rPr>
        <w:t xml:space="preserve">to implement </w:t>
      </w:r>
      <w:r w:rsidRPr="007470A8">
        <w:rPr>
          <w:rFonts w:ascii="Arial" w:hAnsi="Arial" w:cs="Arial"/>
          <w:sz w:val="20"/>
          <w:szCs w:val="20"/>
          <w:lang w:eastAsia="zh-TW"/>
        </w:rPr>
        <w:t xml:space="preserve">the treasury share regime. </w:t>
      </w:r>
    </w:p>
    <w:p w14:paraId="3B0900FE" w14:textId="77777777" w:rsidR="00CF1271" w:rsidRPr="007470A8" w:rsidRDefault="00CF1271" w:rsidP="004D1795">
      <w:pPr>
        <w:spacing w:after="0"/>
        <w:jc w:val="both"/>
        <w:rPr>
          <w:rFonts w:ascii="Arial" w:hAnsi="Arial" w:cs="Arial"/>
          <w:sz w:val="20"/>
          <w:szCs w:val="20"/>
          <w:lang w:eastAsia="zh-TW"/>
        </w:rPr>
      </w:pPr>
    </w:p>
    <w:p w14:paraId="6377D189" w14:textId="77777777" w:rsidR="00866E83" w:rsidRPr="003A409C" w:rsidRDefault="00CF1271" w:rsidP="004D1795">
      <w:pPr>
        <w:pStyle w:val="a5"/>
        <w:numPr>
          <w:ilvl w:val="0"/>
          <w:numId w:val="1"/>
        </w:numPr>
        <w:spacing w:after="0"/>
        <w:ind w:left="426"/>
        <w:jc w:val="both"/>
        <w:rPr>
          <w:rFonts w:ascii="Arial" w:hAnsi="Arial" w:cs="Arial"/>
          <w:b/>
          <w:color w:val="FF0000"/>
          <w:sz w:val="20"/>
          <w:szCs w:val="20"/>
          <w:lang w:eastAsia="zh-TW"/>
        </w:rPr>
      </w:pPr>
      <w:r w:rsidRPr="003A409C">
        <w:rPr>
          <w:rFonts w:ascii="Arial" w:hAnsi="Arial" w:cs="Arial"/>
          <w:b/>
          <w:color w:val="FF0000"/>
          <w:sz w:val="20"/>
          <w:szCs w:val="20"/>
          <w:lang w:eastAsia="zh-TW"/>
        </w:rPr>
        <w:t>Removal of</w:t>
      </w:r>
      <w:r w:rsidR="00DA5701" w:rsidRPr="003A409C">
        <w:rPr>
          <w:rFonts w:ascii="Arial" w:hAnsi="Arial" w:cs="Arial"/>
          <w:b/>
          <w:color w:val="FF0000"/>
          <w:sz w:val="20"/>
          <w:szCs w:val="20"/>
          <w:lang w:eastAsia="zh-TW"/>
        </w:rPr>
        <w:t xml:space="preserve"> the requirement to cancel repurchased shares</w:t>
      </w:r>
    </w:p>
    <w:p w14:paraId="06AE56A1" w14:textId="77777777" w:rsidR="00803F06" w:rsidRPr="007470A8" w:rsidRDefault="00803F06" w:rsidP="004D1795">
      <w:pPr>
        <w:pStyle w:val="a5"/>
        <w:spacing w:after="0"/>
        <w:ind w:left="426"/>
        <w:jc w:val="both"/>
        <w:rPr>
          <w:rFonts w:ascii="Arial" w:hAnsi="Arial" w:cs="Arial"/>
          <w:sz w:val="20"/>
          <w:szCs w:val="20"/>
          <w:lang w:eastAsia="zh-TW"/>
        </w:rPr>
      </w:pPr>
    </w:p>
    <w:p w14:paraId="693E1A81" w14:textId="77777777" w:rsidR="00A16171" w:rsidRPr="00A16171" w:rsidRDefault="00DA5701" w:rsidP="00A16171">
      <w:pPr>
        <w:pStyle w:val="a5"/>
        <w:spacing w:after="0"/>
        <w:ind w:left="426"/>
        <w:jc w:val="both"/>
        <w:rPr>
          <w:rFonts w:ascii="Arial" w:hAnsi="Arial" w:cs="Arial"/>
          <w:sz w:val="20"/>
          <w:szCs w:val="20"/>
          <w:lang w:eastAsia="zh-TW"/>
        </w:rPr>
      </w:pPr>
      <w:r w:rsidRPr="007470A8">
        <w:rPr>
          <w:rFonts w:ascii="Arial" w:hAnsi="Arial" w:cs="Arial"/>
          <w:sz w:val="20"/>
          <w:szCs w:val="20"/>
          <w:lang w:eastAsia="zh-TW"/>
        </w:rPr>
        <w:t xml:space="preserve">The </w:t>
      </w:r>
      <w:r w:rsidR="00A16171">
        <w:rPr>
          <w:rFonts w:ascii="Arial" w:hAnsi="Arial" w:cs="Arial"/>
          <w:sz w:val="20"/>
          <w:szCs w:val="20"/>
          <w:lang w:eastAsia="zh-TW"/>
        </w:rPr>
        <w:t xml:space="preserve">requirement to </w:t>
      </w:r>
      <w:r w:rsidRPr="007470A8">
        <w:rPr>
          <w:rFonts w:ascii="Arial" w:hAnsi="Arial" w:cs="Arial"/>
          <w:sz w:val="20"/>
          <w:szCs w:val="20"/>
          <w:lang w:eastAsia="zh-TW"/>
        </w:rPr>
        <w:t xml:space="preserve">cancel repurchased shares </w:t>
      </w:r>
      <w:r w:rsidR="00CF1271">
        <w:rPr>
          <w:rFonts w:ascii="Arial" w:hAnsi="Arial" w:cs="Arial"/>
          <w:sz w:val="20"/>
          <w:szCs w:val="20"/>
          <w:lang w:eastAsia="zh-TW"/>
        </w:rPr>
        <w:t xml:space="preserve">will be removed </w:t>
      </w:r>
      <w:r w:rsidRPr="007470A8">
        <w:rPr>
          <w:rFonts w:ascii="Arial" w:hAnsi="Arial" w:cs="Arial"/>
          <w:sz w:val="20"/>
          <w:szCs w:val="20"/>
          <w:lang w:eastAsia="zh-TW"/>
        </w:rPr>
        <w:t xml:space="preserve">and </w:t>
      </w:r>
      <w:r w:rsidR="00CF1271">
        <w:rPr>
          <w:rFonts w:ascii="Arial" w:hAnsi="Arial" w:cs="Arial"/>
          <w:sz w:val="20"/>
          <w:szCs w:val="20"/>
          <w:lang w:eastAsia="zh-TW"/>
        </w:rPr>
        <w:t xml:space="preserve">listed companies will be able to hold </w:t>
      </w:r>
      <w:r w:rsidR="00CF1271" w:rsidRPr="007470A8">
        <w:rPr>
          <w:rFonts w:ascii="Arial" w:hAnsi="Arial" w:cs="Arial"/>
          <w:sz w:val="20"/>
          <w:szCs w:val="20"/>
          <w:lang w:eastAsia="zh-TW"/>
        </w:rPr>
        <w:t xml:space="preserve">repurchased shares </w:t>
      </w:r>
      <w:r w:rsidRPr="007470A8">
        <w:rPr>
          <w:rFonts w:ascii="Arial" w:hAnsi="Arial" w:cs="Arial"/>
          <w:sz w:val="20"/>
          <w:szCs w:val="20"/>
          <w:lang w:eastAsia="zh-TW"/>
        </w:rPr>
        <w:t>in treasury</w:t>
      </w:r>
      <w:r w:rsidR="00CF1271">
        <w:rPr>
          <w:rFonts w:ascii="Arial" w:hAnsi="Arial" w:cs="Arial"/>
          <w:sz w:val="20"/>
          <w:szCs w:val="20"/>
          <w:lang w:eastAsia="zh-TW"/>
        </w:rPr>
        <w:t>; the shares will</w:t>
      </w:r>
      <w:r w:rsidRPr="007470A8">
        <w:rPr>
          <w:rFonts w:ascii="Arial" w:hAnsi="Arial" w:cs="Arial"/>
          <w:sz w:val="20"/>
          <w:szCs w:val="20"/>
          <w:lang w:eastAsia="zh-TW"/>
        </w:rPr>
        <w:t xml:space="preserve"> retain their status as listed shares. </w:t>
      </w:r>
      <w:r w:rsidR="00CF1271">
        <w:rPr>
          <w:rFonts w:ascii="Arial" w:hAnsi="Arial" w:cs="Arial"/>
          <w:sz w:val="20"/>
          <w:szCs w:val="20"/>
          <w:lang w:eastAsia="zh-TW"/>
        </w:rPr>
        <w:t xml:space="preserve">Respondents to the consultation </w:t>
      </w:r>
      <w:r w:rsidRPr="007470A8">
        <w:rPr>
          <w:rFonts w:ascii="Arial" w:hAnsi="Arial" w:cs="Arial"/>
          <w:sz w:val="20"/>
          <w:szCs w:val="20"/>
          <w:lang w:eastAsia="zh-TW"/>
        </w:rPr>
        <w:t>genera</w:t>
      </w:r>
      <w:r w:rsidR="00803F06" w:rsidRPr="007470A8">
        <w:rPr>
          <w:rFonts w:ascii="Arial" w:hAnsi="Arial" w:cs="Arial"/>
          <w:sz w:val="20"/>
          <w:szCs w:val="20"/>
          <w:lang w:eastAsia="zh-TW"/>
        </w:rPr>
        <w:t>l</w:t>
      </w:r>
      <w:r w:rsidRPr="007470A8">
        <w:rPr>
          <w:rFonts w:ascii="Arial" w:hAnsi="Arial" w:cs="Arial"/>
          <w:sz w:val="20"/>
          <w:szCs w:val="20"/>
          <w:lang w:eastAsia="zh-TW"/>
        </w:rPr>
        <w:t>l</w:t>
      </w:r>
      <w:r w:rsidR="00803F06" w:rsidRPr="007470A8">
        <w:rPr>
          <w:rFonts w:ascii="Arial" w:hAnsi="Arial" w:cs="Arial"/>
          <w:sz w:val="20"/>
          <w:szCs w:val="20"/>
          <w:lang w:eastAsia="zh-TW"/>
        </w:rPr>
        <w:t>y</w:t>
      </w:r>
      <w:r w:rsidRPr="007470A8">
        <w:rPr>
          <w:rFonts w:ascii="Arial" w:hAnsi="Arial" w:cs="Arial"/>
          <w:sz w:val="20"/>
          <w:szCs w:val="20"/>
          <w:lang w:eastAsia="zh-TW"/>
        </w:rPr>
        <w:t xml:space="preserve"> supported this </w:t>
      </w:r>
      <w:r w:rsidR="00CF1271">
        <w:rPr>
          <w:rFonts w:ascii="Arial" w:hAnsi="Arial" w:cs="Arial"/>
          <w:sz w:val="20"/>
          <w:szCs w:val="20"/>
          <w:lang w:eastAsia="zh-TW"/>
        </w:rPr>
        <w:t>change since it will give</w:t>
      </w:r>
      <w:r w:rsidRPr="007470A8">
        <w:rPr>
          <w:rFonts w:ascii="Arial" w:hAnsi="Arial" w:cs="Arial"/>
          <w:sz w:val="20"/>
          <w:szCs w:val="20"/>
          <w:lang w:eastAsia="zh-TW"/>
        </w:rPr>
        <w:t xml:space="preserve"> listed companies </w:t>
      </w:r>
      <w:r w:rsidR="00CF1271">
        <w:rPr>
          <w:rFonts w:ascii="Arial" w:hAnsi="Arial" w:cs="Arial"/>
          <w:sz w:val="20"/>
          <w:szCs w:val="20"/>
          <w:lang w:eastAsia="zh-TW"/>
        </w:rPr>
        <w:t xml:space="preserve">greater flexibility </w:t>
      </w:r>
      <w:r w:rsidRPr="007470A8">
        <w:rPr>
          <w:rFonts w:ascii="Arial" w:hAnsi="Arial" w:cs="Arial"/>
          <w:sz w:val="20"/>
          <w:szCs w:val="20"/>
          <w:lang w:eastAsia="zh-TW"/>
        </w:rPr>
        <w:t>to adjust their capital structure</w:t>
      </w:r>
      <w:r w:rsidR="00A16171">
        <w:rPr>
          <w:rFonts w:ascii="Arial" w:hAnsi="Arial" w:cs="Arial"/>
          <w:sz w:val="20"/>
          <w:szCs w:val="20"/>
          <w:lang w:eastAsia="zh-TW"/>
        </w:rPr>
        <w:t>, although</w:t>
      </w:r>
      <w:r w:rsidRPr="007470A8">
        <w:rPr>
          <w:rFonts w:ascii="Arial" w:hAnsi="Arial" w:cs="Arial"/>
          <w:sz w:val="20"/>
          <w:szCs w:val="20"/>
          <w:lang w:eastAsia="zh-TW"/>
        </w:rPr>
        <w:t xml:space="preserve"> some expressed concerns about increased risks of market manipulation</w:t>
      </w:r>
      <w:r w:rsidR="00803F06" w:rsidRPr="007470A8">
        <w:rPr>
          <w:rFonts w:ascii="Arial" w:hAnsi="Arial" w:cs="Arial"/>
          <w:sz w:val="20"/>
          <w:szCs w:val="20"/>
          <w:lang w:eastAsia="zh-TW"/>
        </w:rPr>
        <w:t xml:space="preserve">, </w:t>
      </w:r>
      <w:r w:rsidRPr="007470A8">
        <w:rPr>
          <w:rFonts w:ascii="Arial" w:hAnsi="Arial" w:cs="Arial"/>
          <w:sz w:val="20"/>
          <w:szCs w:val="20"/>
          <w:lang w:eastAsia="zh-TW"/>
        </w:rPr>
        <w:t>insider dealing</w:t>
      </w:r>
      <w:r w:rsidR="00803F06" w:rsidRPr="007470A8">
        <w:rPr>
          <w:rFonts w:ascii="Arial" w:hAnsi="Arial" w:cs="Arial"/>
          <w:sz w:val="20"/>
          <w:szCs w:val="20"/>
          <w:lang w:eastAsia="zh-TW"/>
        </w:rPr>
        <w:t xml:space="preserve">, </w:t>
      </w:r>
      <w:r w:rsidR="00095EEC" w:rsidRPr="007470A8">
        <w:rPr>
          <w:rFonts w:ascii="Arial" w:hAnsi="Arial" w:cs="Arial"/>
          <w:sz w:val="20"/>
          <w:szCs w:val="20"/>
          <w:lang w:eastAsia="zh-TW"/>
        </w:rPr>
        <w:t>and the</w:t>
      </w:r>
      <w:r w:rsidR="00803F06" w:rsidRPr="007470A8">
        <w:rPr>
          <w:rFonts w:ascii="Arial" w:hAnsi="Arial" w:cs="Arial"/>
          <w:sz w:val="20"/>
          <w:szCs w:val="20"/>
          <w:lang w:eastAsia="zh-TW"/>
        </w:rPr>
        <w:t xml:space="preserve"> dilution impact</w:t>
      </w:r>
      <w:r w:rsidRPr="007470A8">
        <w:rPr>
          <w:rFonts w:ascii="Arial" w:hAnsi="Arial" w:cs="Arial"/>
          <w:sz w:val="20"/>
          <w:szCs w:val="20"/>
          <w:lang w:eastAsia="zh-TW"/>
        </w:rPr>
        <w:t xml:space="preserve">. </w:t>
      </w:r>
      <w:r w:rsidRPr="00A16171">
        <w:rPr>
          <w:rFonts w:ascii="Arial" w:hAnsi="Arial" w:cs="Arial"/>
          <w:sz w:val="20"/>
          <w:szCs w:val="20"/>
          <w:lang w:eastAsia="zh-TW"/>
        </w:rPr>
        <w:t xml:space="preserve">The HKEX </w:t>
      </w:r>
      <w:r w:rsidR="00A16171">
        <w:rPr>
          <w:rFonts w:ascii="Arial" w:hAnsi="Arial" w:cs="Arial"/>
          <w:sz w:val="20"/>
          <w:szCs w:val="20"/>
          <w:lang w:eastAsia="zh-TW"/>
        </w:rPr>
        <w:t>reminds</w:t>
      </w:r>
      <w:r w:rsidRPr="00A16171">
        <w:rPr>
          <w:rFonts w:ascii="Arial" w:hAnsi="Arial" w:cs="Arial"/>
          <w:sz w:val="20"/>
          <w:szCs w:val="20"/>
          <w:lang w:eastAsia="zh-TW"/>
        </w:rPr>
        <w:t xml:space="preserve"> companies </w:t>
      </w:r>
      <w:r w:rsidR="00CF1271" w:rsidRPr="00A16171">
        <w:rPr>
          <w:rFonts w:ascii="Arial" w:hAnsi="Arial" w:cs="Arial"/>
          <w:sz w:val="20"/>
          <w:szCs w:val="20"/>
          <w:lang w:eastAsia="zh-TW"/>
        </w:rPr>
        <w:t xml:space="preserve">to </w:t>
      </w:r>
      <w:r w:rsidR="00A16171" w:rsidRPr="00A16171">
        <w:rPr>
          <w:rFonts w:ascii="Arial" w:hAnsi="Arial" w:cs="Arial"/>
          <w:sz w:val="20"/>
          <w:szCs w:val="20"/>
          <w:lang w:eastAsia="zh-TW"/>
        </w:rPr>
        <w:t xml:space="preserve">make any necessary amendments to </w:t>
      </w:r>
      <w:r w:rsidRPr="00A16171">
        <w:rPr>
          <w:rFonts w:ascii="Arial" w:hAnsi="Arial" w:cs="Arial"/>
          <w:sz w:val="20"/>
          <w:szCs w:val="20"/>
          <w:lang w:eastAsia="zh-TW"/>
        </w:rPr>
        <w:t>their constitutional documents</w:t>
      </w:r>
      <w:r w:rsidR="00A16171">
        <w:rPr>
          <w:rFonts w:ascii="Arial" w:hAnsi="Arial" w:cs="Arial"/>
          <w:sz w:val="20"/>
          <w:szCs w:val="20"/>
          <w:lang w:eastAsia="zh-TW"/>
        </w:rPr>
        <w:t xml:space="preserve"> to allow them to hold treasury shares</w:t>
      </w:r>
      <w:r w:rsidR="00A16171" w:rsidRPr="00A16171">
        <w:rPr>
          <w:rFonts w:ascii="Arial" w:hAnsi="Arial" w:cs="Arial"/>
          <w:sz w:val="20"/>
          <w:szCs w:val="20"/>
          <w:lang w:eastAsia="zh-TW"/>
        </w:rPr>
        <w:t>, e.g. to remove</w:t>
      </w:r>
      <w:r w:rsidRPr="00A16171">
        <w:rPr>
          <w:rFonts w:ascii="Arial" w:hAnsi="Arial" w:cs="Arial"/>
          <w:sz w:val="20"/>
          <w:szCs w:val="20"/>
          <w:lang w:eastAsia="zh-TW"/>
        </w:rPr>
        <w:t xml:space="preserve"> </w:t>
      </w:r>
      <w:r w:rsidR="00A16171" w:rsidRPr="00A16171">
        <w:rPr>
          <w:rFonts w:ascii="Arial" w:hAnsi="Arial" w:cs="Arial"/>
          <w:sz w:val="20"/>
          <w:szCs w:val="20"/>
          <w:lang w:eastAsia="zh-TW"/>
        </w:rPr>
        <w:t>any restriction on the holding and use of treasury shares</w:t>
      </w:r>
      <w:r w:rsidRPr="00A16171">
        <w:rPr>
          <w:rFonts w:ascii="Arial" w:hAnsi="Arial" w:cs="Arial"/>
          <w:sz w:val="20"/>
          <w:szCs w:val="20"/>
          <w:lang w:eastAsia="zh-TW"/>
        </w:rPr>
        <w:t xml:space="preserve">. </w:t>
      </w:r>
    </w:p>
    <w:p w14:paraId="0E8BB3AA" w14:textId="77777777" w:rsidR="00A16171" w:rsidRDefault="00A16171" w:rsidP="004D1795">
      <w:pPr>
        <w:pStyle w:val="a5"/>
        <w:spacing w:after="0"/>
        <w:ind w:left="426"/>
        <w:jc w:val="both"/>
        <w:rPr>
          <w:rFonts w:ascii="Arial" w:hAnsi="Arial" w:cs="Arial"/>
          <w:sz w:val="20"/>
          <w:szCs w:val="20"/>
          <w:lang w:eastAsia="zh-TW"/>
        </w:rPr>
      </w:pPr>
    </w:p>
    <w:p w14:paraId="20782A58" w14:textId="77777777" w:rsidR="004F542E" w:rsidRPr="007470A8" w:rsidRDefault="005E2D1B" w:rsidP="004D1795">
      <w:pPr>
        <w:pStyle w:val="a5"/>
        <w:spacing w:after="0"/>
        <w:ind w:left="426"/>
        <w:jc w:val="both"/>
        <w:rPr>
          <w:rFonts w:ascii="Arial" w:hAnsi="Arial" w:cs="Arial"/>
          <w:sz w:val="20"/>
          <w:szCs w:val="20"/>
          <w:lang w:eastAsia="zh-TW"/>
        </w:rPr>
      </w:pPr>
      <w:r w:rsidRPr="007470A8">
        <w:rPr>
          <w:rFonts w:ascii="Arial" w:hAnsi="Arial" w:cs="Arial"/>
          <w:sz w:val="20"/>
          <w:szCs w:val="20"/>
          <w:lang w:eastAsia="zh-TW"/>
        </w:rPr>
        <w:t xml:space="preserve">Some of the key amendments to the Listing Rules to implement the treasury share regime are as follows: </w:t>
      </w:r>
    </w:p>
    <w:p w14:paraId="3CFD448A" w14:textId="77777777" w:rsidR="004F542E" w:rsidRPr="007470A8" w:rsidRDefault="004F542E" w:rsidP="004D1795">
      <w:pPr>
        <w:pStyle w:val="a5"/>
        <w:spacing w:after="0"/>
        <w:ind w:left="426"/>
        <w:jc w:val="both"/>
        <w:rPr>
          <w:rFonts w:ascii="Arial" w:hAnsi="Arial" w:cs="Arial"/>
          <w:sz w:val="20"/>
          <w:szCs w:val="20"/>
          <w:lang w:eastAsia="zh-TW"/>
        </w:rPr>
      </w:pPr>
    </w:p>
    <w:tbl>
      <w:tblPr>
        <w:tblStyle w:val="a4"/>
        <w:tblW w:w="0" w:type="auto"/>
        <w:tblInd w:w="426" w:type="dxa"/>
        <w:tblLook w:val="04A0" w:firstRow="1" w:lastRow="0" w:firstColumn="1" w:lastColumn="0" w:noHBand="0" w:noVBand="1"/>
      </w:tblPr>
      <w:tblGrid>
        <w:gridCol w:w="2263"/>
        <w:gridCol w:w="6661"/>
      </w:tblGrid>
      <w:tr w:rsidR="00A33923" w:rsidRPr="007470A8" w14:paraId="5A0C0AF9" w14:textId="77777777" w:rsidTr="007470A8">
        <w:trPr>
          <w:trHeight w:val="520"/>
        </w:trPr>
        <w:tc>
          <w:tcPr>
            <w:tcW w:w="2263" w:type="dxa"/>
            <w:shd w:val="clear" w:color="auto" w:fill="F2F2F2" w:themeFill="background1" w:themeFillShade="F2"/>
          </w:tcPr>
          <w:p w14:paraId="5B3B426A" w14:textId="77777777" w:rsidR="00C6211E" w:rsidRPr="00A16171" w:rsidRDefault="00DA5701" w:rsidP="00331BC8">
            <w:pPr>
              <w:pStyle w:val="a5"/>
              <w:ind w:left="0"/>
              <w:jc w:val="both"/>
              <w:rPr>
                <w:rFonts w:ascii="Arial" w:hAnsi="Arial" w:cs="Arial"/>
                <w:b/>
                <w:sz w:val="20"/>
                <w:szCs w:val="20"/>
                <w:lang w:eastAsia="zh-TW"/>
              </w:rPr>
            </w:pPr>
            <w:r w:rsidRPr="00A16171">
              <w:rPr>
                <w:rFonts w:ascii="Arial" w:hAnsi="Arial" w:cs="Arial"/>
                <w:b/>
                <w:sz w:val="20"/>
                <w:szCs w:val="20"/>
                <w:lang w:eastAsia="zh-TW"/>
              </w:rPr>
              <w:t xml:space="preserve">Relevant Rules or </w:t>
            </w:r>
            <w:r w:rsidR="00982D15" w:rsidRPr="00A16171">
              <w:rPr>
                <w:rFonts w:ascii="Arial" w:hAnsi="Arial" w:cs="Arial"/>
                <w:b/>
                <w:sz w:val="20"/>
                <w:szCs w:val="20"/>
                <w:lang w:eastAsia="zh-TW"/>
              </w:rPr>
              <w:t>requirements</w:t>
            </w:r>
          </w:p>
        </w:tc>
        <w:tc>
          <w:tcPr>
            <w:tcW w:w="6661" w:type="dxa"/>
            <w:shd w:val="clear" w:color="auto" w:fill="F2F2F2" w:themeFill="background1" w:themeFillShade="F2"/>
          </w:tcPr>
          <w:p w14:paraId="0B6FC603" w14:textId="77777777" w:rsidR="00C6211E" w:rsidRPr="00A16171" w:rsidRDefault="00A16171" w:rsidP="00A16171">
            <w:pPr>
              <w:pStyle w:val="a5"/>
              <w:ind w:left="0"/>
              <w:jc w:val="center"/>
              <w:rPr>
                <w:rFonts w:ascii="Arial" w:hAnsi="Arial" w:cs="Arial"/>
                <w:b/>
                <w:sz w:val="20"/>
                <w:szCs w:val="20"/>
                <w:lang w:eastAsia="zh-TW"/>
              </w:rPr>
            </w:pPr>
            <w:r>
              <w:rPr>
                <w:rFonts w:ascii="Arial" w:hAnsi="Arial" w:cs="Arial"/>
                <w:b/>
                <w:sz w:val="20"/>
                <w:szCs w:val="20"/>
                <w:lang w:eastAsia="zh-TW"/>
              </w:rPr>
              <w:t xml:space="preserve">Listing Rule </w:t>
            </w:r>
            <w:r w:rsidR="00DA5701" w:rsidRPr="00A16171">
              <w:rPr>
                <w:rFonts w:ascii="Arial" w:hAnsi="Arial" w:cs="Arial"/>
                <w:b/>
                <w:sz w:val="20"/>
                <w:szCs w:val="20"/>
                <w:lang w:eastAsia="zh-TW"/>
              </w:rPr>
              <w:t>Amendments</w:t>
            </w:r>
          </w:p>
        </w:tc>
      </w:tr>
      <w:tr w:rsidR="00A33923" w:rsidRPr="007470A8" w14:paraId="3669172F" w14:textId="77777777" w:rsidTr="004D1795">
        <w:tc>
          <w:tcPr>
            <w:tcW w:w="2263" w:type="dxa"/>
          </w:tcPr>
          <w:p w14:paraId="1B0DE0E7" w14:textId="77777777" w:rsidR="00A16171" w:rsidRDefault="00A16171" w:rsidP="00331BC8">
            <w:pPr>
              <w:pStyle w:val="a5"/>
              <w:ind w:left="0"/>
              <w:jc w:val="both"/>
              <w:rPr>
                <w:rFonts w:ascii="Arial" w:hAnsi="Arial" w:cs="Arial"/>
                <w:sz w:val="20"/>
                <w:szCs w:val="20"/>
                <w:lang w:eastAsia="zh-TW"/>
              </w:rPr>
            </w:pPr>
          </w:p>
          <w:p w14:paraId="7E79CDB7" w14:textId="77777777" w:rsidR="00C6211E" w:rsidRPr="007470A8" w:rsidRDefault="00A16171" w:rsidP="00331BC8">
            <w:pPr>
              <w:pStyle w:val="a5"/>
              <w:ind w:left="0"/>
              <w:jc w:val="both"/>
              <w:rPr>
                <w:rFonts w:ascii="Arial" w:hAnsi="Arial" w:cs="Arial"/>
                <w:sz w:val="20"/>
                <w:szCs w:val="20"/>
                <w:lang w:eastAsia="zh-TW"/>
              </w:rPr>
            </w:pPr>
            <w:r w:rsidRPr="00E20DD4">
              <w:rPr>
                <w:rFonts w:ascii="Arial" w:hAnsi="Arial" w:cs="Arial"/>
                <w:b/>
                <w:color w:val="FF0000"/>
                <w:sz w:val="20"/>
                <w:szCs w:val="20"/>
                <w:lang w:eastAsia="zh-TW"/>
              </w:rPr>
              <w:t>“treasury shares” definition</w:t>
            </w:r>
            <w:r w:rsidRPr="00E20DD4">
              <w:rPr>
                <w:rFonts w:ascii="Arial" w:hAnsi="Arial" w:cs="Arial"/>
                <w:color w:val="FF0000"/>
                <w:sz w:val="20"/>
                <w:szCs w:val="20"/>
                <w:lang w:eastAsia="zh-TW"/>
              </w:rPr>
              <w:t xml:space="preserve"> </w:t>
            </w:r>
            <w:r>
              <w:rPr>
                <w:rFonts w:ascii="Arial" w:hAnsi="Arial" w:cs="Arial"/>
                <w:sz w:val="20"/>
                <w:szCs w:val="20"/>
                <w:lang w:eastAsia="zh-TW"/>
              </w:rPr>
              <w:t>(</w:t>
            </w:r>
            <w:r w:rsidR="00531011">
              <w:rPr>
                <w:rFonts w:ascii="Arial" w:hAnsi="Arial" w:cs="Arial"/>
                <w:sz w:val="20"/>
                <w:szCs w:val="20"/>
                <w:lang w:eastAsia="zh-TW"/>
              </w:rPr>
              <w:t xml:space="preserve">MB </w:t>
            </w:r>
            <w:r w:rsidR="00DA5701" w:rsidRPr="007470A8">
              <w:rPr>
                <w:rFonts w:ascii="Arial" w:hAnsi="Arial" w:cs="Arial"/>
                <w:sz w:val="20"/>
                <w:szCs w:val="20"/>
                <w:lang w:eastAsia="zh-TW"/>
              </w:rPr>
              <w:t>Rule 1.01</w:t>
            </w:r>
            <w:r w:rsidR="00DA5701" w:rsidRPr="007470A8">
              <w:rPr>
                <w:rStyle w:val="a8"/>
                <w:rFonts w:ascii="Arial" w:hAnsi="Arial" w:cs="Arial"/>
                <w:sz w:val="20"/>
                <w:szCs w:val="20"/>
                <w:lang w:eastAsia="zh-TW"/>
              </w:rPr>
              <w:footnoteReference w:id="1"/>
            </w:r>
            <w:r>
              <w:rPr>
                <w:rFonts w:ascii="Arial" w:hAnsi="Arial" w:cs="Arial"/>
                <w:sz w:val="20"/>
                <w:szCs w:val="20"/>
                <w:lang w:eastAsia="zh-TW"/>
              </w:rPr>
              <w:t>)</w:t>
            </w:r>
          </w:p>
        </w:tc>
        <w:tc>
          <w:tcPr>
            <w:tcW w:w="6661" w:type="dxa"/>
          </w:tcPr>
          <w:p w14:paraId="21D5D07B" w14:textId="77777777" w:rsidR="00A16171" w:rsidRDefault="00A16171" w:rsidP="00331BC8">
            <w:pPr>
              <w:pStyle w:val="a5"/>
              <w:ind w:left="0"/>
              <w:jc w:val="both"/>
              <w:rPr>
                <w:rFonts w:ascii="Arial" w:hAnsi="Arial" w:cs="Arial"/>
                <w:sz w:val="20"/>
                <w:szCs w:val="20"/>
                <w:lang w:eastAsia="zh-TW"/>
              </w:rPr>
            </w:pPr>
          </w:p>
          <w:p w14:paraId="22ABC0D9" w14:textId="77777777" w:rsidR="00C6211E" w:rsidRDefault="00DA5701" w:rsidP="00331BC8">
            <w:pPr>
              <w:pStyle w:val="a5"/>
              <w:ind w:left="0"/>
              <w:jc w:val="both"/>
              <w:rPr>
                <w:rFonts w:ascii="Arial" w:hAnsi="Arial" w:cs="Arial"/>
                <w:sz w:val="20"/>
                <w:szCs w:val="20"/>
                <w:lang w:eastAsia="zh-TW"/>
              </w:rPr>
            </w:pPr>
            <w:r w:rsidRPr="007470A8">
              <w:rPr>
                <w:rFonts w:ascii="Arial" w:hAnsi="Arial" w:cs="Arial"/>
                <w:sz w:val="20"/>
                <w:szCs w:val="20"/>
                <w:lang w:eastAsia="zh-TW"/>
              </w:rPr>
              <w:t xml:space="preserve">The definition of treasury shares </w:t>
            </w:r>
            <w:r w:rsidR="00A16171">
              <w:rPr>
                <w:rFonts w:ascii="Arial" w:hAnsi="Arial" w:cs="Arial"/>
                <w:sz w:val="20"/>
                <w:szCs w:val="20"/>
                <w:lang w:eastAsia="zh-TW"/>
              </w:rPr>
              <w:t>under Rule 1.01 will be:</w:t>
            </w:r>
          </w:p>
          <w:p w14:paraId="32120738" w14:textId="77777777" w:rsidR="00A16171" w:rsidRDefault="00A16171" w:rsidP="00331BC8">
            <w:pPr>
              <w:pStyle w:val="a5"/>
              <w:ind w:left="0"/>
              <w:jc w:val="both"/>
              <w:rPr>
                <w:rFonts w:ascii="Arial" w:hAnsi="Arial" w:cs="Arial"/>
                <w:sz w:val="20"/>
                <w:szCs w:val="20"/>
                <w:lang w:eastAsia="zh-TW"/>
              </w:rPr>
            </w:pPr>
          </w:p>
          <w:p w14:paraId="78ABC6A2" w14:textId="77777777" w:rsidR="00A16171" w:rsidRDefault="00A16171" w:rsidP="00331BC8">
            <w:pPr>
              <w:pStyle w:val="a5"/>
              <w:ind w:left="0"/>
              <w:jc w:val="both"/>
              <w:rPr>
                <w:rFonts w:ascii="Arial" w:hAnsi="Arial" w:cs="Arial"/>
                <w:i/>
                <w:sz w:val="20"/>
                <w:szCs w:val="20"/>
                <w:lang w:eastAsia="zh-TW"/>
              </w:rPr>
            </w:pPr>
            <w:r w:rsidRPr="00A16171">
              <w:rPr>
                <w:rFonts w:ascii="Arial" w:hAnsi="Arial" w:cs="Arial"/>
                <w:sz w:val="20"/>
                <w:szCs w:val="20"/>
                <w:lang w:eastAsia="zh-TW"/>
              </w:rPr>
              <w:t>“</w:t>
            </w:r>
            <w:r w:rsidRPr="00A16171">
              <w:rPr>
                <w:rFonts w:ascii="Arial" w:hAnsi="Arial" w:cs="Arial"/>
                <w:i/>
                <w:sz w:val="20"/>
                <w:szCs w:val="20"/>
                <w:lang w:eastAsia="zh-TW"/>
              </w:rPr>
              <w:t xml:space="preserve">shares repurchased and held by an issuer in treasury, as authorised by the laws of the issuer’s place of incorporation and its articles of association or equivalent constitutional documents which, for the purpose of the Rules, include shares repurchased by an issuer and held or deposited in CCASS for sale on the Exchange </w:t>
            </w:r>
          </w:p>
          <w:p w14:paraId="70F02624" w14:textId="77777777" w:rsidR="00A16171" w:rsidRDefault="00A16171" w:rsidP="00331BC8">
            <w:pPr>
              <w:pStyle w:val="a5"/>
              <w:ind w:left="0"/>
              <w:jc w:val="both"/>
              <w:rPr>
                <w:rFonts w:ascii="Arial" w:hAnsi="Arial" w:cs="Arial"/>
                <w:i/>
                <w:sz w:val="20"/>
                <w:szCs w:val="20"/>
                <w:lang w:eastAsia="zh-TW"/>
              </w:rPr>
            </w:pPr>
          </w:p>
          <w:p w14:paraId="47F4257E" w14:textId="77777777" w:rsidR="00A16171" w:rsidRDefault="00A16171" w:rsidP="00A16171">
            <w:pPr>
              <w:pStyle w:val="a5"/>
              <w:tabs>
                <w:tab w:val="left" w:pos="880"/>
              </w:tabs>
              <w:ind w:left="738" w:hanging="738"/>
              <w:jc w:val="both"/>
              <w:rPr>
                <w:rFonts w:ascii="Arial" w:hAnsi="Arial" w:cs="Arial"/>
                <w:i/>
                <w:sz w:val="20"/>
                <w:szCs w:val="20"/>
                <w:lang w:eastAsia="zh-TW"/>
              </w:rPr>
            </w:pPr>
            <w:r w:rsidRPr="00A16171">
              <w:rPr>
                <w:rFonts w:ascii="Arial" w:hAnsi="Arial" w:cs="Arial"/>
                <w:i/>
                <w:sz w:val="20"/>
                <w:szCs w:val="20"/>
                <w:lang w:eastAsia="zh-TW"/>
              </w:rPr>
              <w:lastRenderedPageBreak/>
              <w:t xml:space="preserve">Notes: (1) For the purpose of the Rules, a holder of treasury shares shall abstain from voting on matters that require shareholders' approval under the Rules. </w:t>
            </w:r>
          </w:p>
          <w:p w14:paraId="7C4F3AB2" w14:textId="77777777" w:rsidR="00A16171" w:rsidRDefault="00A16171" w:rsidP="00A16171">
            <w:pPr>
              <w:pStyle w:val="a5"/>
              <w:tabs>
                <w:tab w:val="left" w:pos="434"/>
              </w:tabs>
              <w:ind w:left="455"/>
              <w:jc w:val="both"/>
              <w:rPr>
                <w:rFonts w:ascii="Arial" w:hAnsi="Arial" w:cs="Arial"/>
                <w:sz w:val="20"/>
                <w:szCs w:val="20"/>
                <w:lang w:eastAsia="zh-TW"/>
              </w:rPr>
            </w:pPr>
            <w:r w:rsidRPr="00A16171">
              <w:rPr>
                <w:rFonts w:ascii="Arial" w:hAnsi="Arial" w:cs="Arial"/>
                <w:i/>
                <w:sz w:val="20"/>
                <w:szCs w:val="20"/>
                <w:lang w:eastAsia="zh-TW"/>
              </w:rPr>
              <w:t xml:space="preserve">(2) Treasury shares may be held by an issuer’s subsidiary or an agent or nominee on behalf of the issuer or its subsidiary, if </w:t>
            </w:r>
            <w:r w:rsidR="002C6A2D">
              <w:rPr>
                <w:rFonts w:ascii="Arial" w:hAnsi="Arial" w:cs="Arial"/>
                <w:i/>
                <w:sz w:val="20"/>
                <w:szCs w:val="20"/>
                <w:lang w:eastAsia="zh-TW"/>
              </w:rPr>
              <w:t xml:space="preserve">this </w:t>
            </w:r>
            <w:r w:rsidRPr="00A16171">
              <w:rPr>
                <w:rFonts w:ascii="Arial" w:hAnsi="Arial" w:cs="Arial"/>
                <w:i/>
                <w:sz w:val="20"/>
                <w:szCs w:val="20"/>
                <w:lang w:eastAsia="zh-TW"/>
              </w:rPr>
              <w:t>is permitted by the laws of the issuer’s place of incorporation and its articles of association or equivalent constitutional documents. References to sales or transfers of treasury shares include sales or transfers by agents or nominees on behalf of the issuer or subsidiary of the issuer, as the case may be.</w:t>
            </w:r>
            <w:r w:rsidRPr="00A16171">
              <w:rPr>
                <w:rFonts w:ascii="Arial" w:hAnsi="Arial" w:cs="Arial"/>
                <w:sz w:val="20"/>
                <w:szCs w:val="20"/>
                <w:lang w:eastAsia="zh-TW"/>
              </w:rPr>
              <w:t>”</w:t>
            </w:r>
          </w:p>
          <w:p w14:paraId="068BBC66" w14:textId="77777777" w:rsidR="00A16171" w:rsidRPr="007470A8" w:rsidRDefault="00A16171" w:rsidP="00331BC8">
            <w:pPr>
              <w:pStyle w:val="a5"/>
              <w:ind w:left="0"/>
              <w:jc w:val="both"/>
              <w:rPr>
                <w:rFonts w:ascii="Arial" w:hAnsi="Arial" w:cs="Arial"/>
                <w:sz w:val="20"/>
                <w:szCs w:val="20"/>
                <w:lang w:eastAsia="zh-TW"/>
              </w:rPr>
            </w:pPr>
          </w:p>
          <w:p w14:paraId="39C740BD" w14:textId="77777777" w:rsidR="003D747D" w:rsidRDefault="00DA5701" w:rsidP="003D747D">
            <w:pPr>
              <w:jc w:val="both"/>
              <w:rPr>
                <w:rFonts w:ascii="Arial" w:hAnsi="Arial" w:cs="Arial"/>
                <w:sz w:val="20"/>
                <w:szCs w:val="20"/>
                <w:lang w:eastAsia="zh-TW"/>
              </w:rPr>
            </w:pPr>
            <w:r w:rsidRPr="003D747D">
              <w:rPr>
                <w:rFonts w:ascii="Arial" w:hAnsi="Arial" w:cs="Arial"/>
                <w:sz w:val="20"/>
                <w:szCs w:val="20"/>
                <w:lang w:eastAsia="zh-TW"/>
              </w:rPr>
              <w:t xml:space="preserve">The </w:t>
            </w:r>
            <w:r w:rsidR="003D747D">
              <w:rPr>
                <w:rFonts w:ascii="Arial" w:hAnsi="Arial" w:cs="Arial"/>
                <w:sz w:val="20"/>
                <w:szCs w:val="20"/>
                <w:lang w:eastAsia="zh-TW"/>
              </w:rPr>
              <w:t>above definition modifies the definition proposed in the Consultation Paper to clarify that:</w:t>
            </w:r>
          </w:p>
          <w:p w14:paraId="2C0B6888" w14:textId="77777777" w:rsidR="003D747D" w:rsidRDefault="003D747D" w:rsidP="003D747D">
            <w:pPr>
              <w:jc w:val="both"/>
              <w:rPr>
                <w:rFonts w:ascii="Arial" w:hAnsi="Arial" w:cs="Arial"/>
                <w:sz w:val="20"/>
                <w:szCs w:val="20"/>
                <w:lang w:eastAsia="zh-TW"/>
              </w:rPr>
            </w:pPr>
          </w:p>
          <w:p w14:paraId="4CB5E307" w14:textId="77777777" w:rsidR="003D747D" w:rsidRDefault="00DA5701" w:rsidP="00D54468">
            <w:pPr>
              <w:pStyle w:val="a5"/>
              <w:numPr>
                <w:ilvl w:val="0"/>
                <w:numId w:val="3"/>
              </w:numPr>
              <w:jc w:val="both"/>
              <w:rPr>
                <w:rFonts w:ascii="Arial" w:hAnsi="Arial" w:cs="Arial"/>
                <w:sz w:val="20"/>
                <w:szCs w:val="20"/>
                <w:lang w:eastAsia="zh-TW"/>
              </w:rPr>
            </w:pPr>
            <w:r w:rsidRPr="003D747D">
              <w:rPr>
                <w:rFonts w:ascii="Arial" w:hAnsi="Arial" w:cs="Arial"/>
                <w:sz w:val="20"/>
                <w:szCs w:val="20"/>
                <w:lang w:eastAsia="zh-TW"/>
              </w:rPr>
              <w:t xml:space="preserve">treasury shares </w:t>
            </w:r>
            <w:r w:rsidR="003D747D" w:rsidRPr="003D747D">
              <w:rPr>
                <w:rFonts w:ascii="Arial" w:hAnsi="Arial" w:cs="Arial"/>
                <w:sz w:val="20"/>
                <w:szCs w:val="20"/>
                <w:lang w:eastAsia="zh-TW"/>
              </w:rPr>
              <w:t xml:space="preserve">can </w:t>
            </w:r>
            <w:r w:rsidRPr="003D747D">
              <w:rPr>
                <w:rFonts w:ascii="Arial" w:hAnsi="Arial" w:cs="Arial"/>
                <w:sz w:val="20"/>
                <w:szCs w:val="20"/>
                <w:lang w:eastAsia="zh-TW"/>
              </w:rPr>
              <w:t xml:space="preserve">be held by </w:t>
            </w:r>
            <w:r w:rsidR="003D747D" w:rsidRPr="003D747D">
              <w:rPr>
                <w:rFonts w:ascii="Arial" w:hAnsi="Arial" w:cs="Arial"/>
                <w:sz w:val="20"/>
                <w:szCs w:val="20"/>
                <w:lang w:eastAsia="zh-TW"/>
              </w:rPr>
              <w:t xml:space="preserve">a listed </w:t>
            </w:r>
            <w:r w:rsidRPr="003D747D">
              <w:rPr>
                <w:rFonts w:ascii="Arial" w:hAnsi="Arial" w:cs="Arial"/>
                <w:sz w:val="20"/>
                <w:szCs w:val="20"/>
                <w:lang w:eastAsia="zh-TW"/>
              </w:rPr>
              <w:t xml:space="preserve">company’s subsidiary, </w:t>
            </w:r>
            <w:r w:rsidR="003D747D" w:rsidRPr="003D747D">
              <w:rPr>
                <w:rFonts w:ascii="Arial" w:hAnsi="Arial" w:cs="Arial"/>
                <w:sz w:val="20"/>
                <w:szCs w:val="20"/>
                <w:lang w:eastAsia="zh-TW"/>
              </w:rPr>
              <w:t xml:space="preserve">or an </w:t>
            </w:r>
            <w:r w:rsidRPr="003D747D">
              <w:rPr>
                <w:rFonts w:ascii="Arial" w:hAnsi="Arial" w:cs="Arial"/>
                <w:sz w:val="20"/>
                <w:szCs w:val="20"/>
                <w:lang w:eastAsia="zh-TW"/>
              </w:rPr>
              <w:t xml:space="preserve">agent or nominee </w:t>
            </w:r>
            <w:r w:rsidR="003D747D" w:rsidRPr="003D747D">
              <w:rPr>
                <w:rFonts w:ascii="Arial" w:hAnsi="Arial" w:cs="Arial"/>
                <w:sz w:val="20"/>
                <w:szCs w:val="20"/>
                <w:lang w:eastAsia="zh-TW"/>
              </w:rPr>
              <w:t xml:space="preserve">of the listed company or its subsidiary, </w:t>
            </w:r>
            <w:r w:rsidRPr="003D747D">
              <w:rPr>
                <w:rFonts w:ascii="Arial" w:hAnsi="Arial" w:cs="Arial"/>
                <w:sz w:val="20"/>
                <w:szCs w:val="20"/>
                <w:lang w:eastAsia="zh-TW"/>
              </w:rPr>
              <w:t xml:space="preserve">if this is permitted by the laws </w:t>
            </w:r>
            <w:r w:rsidR="003D747D" w:rsidRPr="003D747D">
              <w:rPr>
                <w:rFonts w:ascii="Arial" w:hAnsi="Arial" w:cs="Arial"/>
                <w:sz w:val="20"/>
                <w:szCs w:val="20"/>
                <w:lang w:eastAsia="zh-TW"/>
              </w:rPr>
              <w:t xml:space="preserve">of </w:t>
            </w:r>
            <w:r w:rsidRPr="003D747D">
              <w:rPr>
                <w:rFonts w:ascii="Arial" w:hAnsi="Arial" w:cs="Arial"/>
                <w:sz w:val="20"/>
                <w:szCs w:val="20"/>
                <w:lang w:eastAsia="zh-TW"/>
              </w:rPr>
              <w:t>the company</w:t>
            </w:r>
            <w:r w:rsidR="003D747D" w:rsidRPr="003D747D">
              <w:rPr>
                <w:rFonts w:ascii="Arial" w:hAnsi="Arial" w:cs="Arial"/>
                <w:sz w:val="20"/>
                <w:szCs w:val="20"/>
                <w:lang w:eastAsia="zh-TW"/>
              </w:rPr>
              <w:t>’s jurisdiction of incorporation</w:t>
            </w:r>
            <w:r w:rsidRPr="003D747D">
              <w:rPr>
                <w:rFonts w:ascii="Arial" w:hAnsi="Arial" w:cs="Arial"/>
                <w:sz w:val="20"/>
                <w:szCs w:val="20"/>
                <w:lang w:eastAsia="zh-TW"/>
              </w:rPr>
              <w:t xml:space="preserve"> and its constitutional documents. For </w:t>
            </w:r>
            <w:r w:rsidR="003D747D" w:rsidRPr="003D747D">
              <w:rPr>
                <w:rFonts w:ascii="Arial" w:hAnsi="Arial" w:cs="Arial"/>
                <w:sz w:val="20"/>
                <w:szCs w:val="20"/>
                <w:lang w:eastAsia="zh-TW"/>
              </w:rPr>
              <w:t>exampl</w:t>
            </w:r>
            <w:r w:rsidRPr="003D747D">
              <w:rPr>
                <w:rFonts w:ascii="Arial" w:hAnsi="Arial" w:cs="Arial"/>
                <w:sz w:val="20"/>
                <w:szCs w:val="20"/>
                <w:lang w:eastAsia="zh-TW"/>
              </w:rPr>
              <w:t xml:space="preserve">e, </w:t>
            </w:r>
            <w:r w:rsidR="003D747D" w:rsidRPr="003D747D">
              <w:rPr>
                <w:rFonts w:ascii="Arial" w:hAnsi="Arial" w:cs="Arial"/>
                <w:sz w:val="20"/>
                <w:szCs w:val="20"/>
                <w:lang w:eastAsia="zh-TW"/>
              </w:rPr>
              <w:t xml:space="preserve">under Bermuda or Cayman laws, repurchased shares must be held in the company’s own name in order to be classified as treasury shares. PRC laws, on the other hand, do not require treasury H shares to be held in the name of the listed </w:t>
            </w:r>
            <w:r w:rsidR="002C6A2D" w:rsidRPr="003D747D">
              <w:rPr>
                <w:rFonts w:ascii="Arial" w:hAnsi="Arial" w:cs="Arial"/>
                <w:sz w:val="20"/>
                <w:szCs w:val="20"/>
                <w:lang w:eastAsia="zh-TW"/>
              </w:rPr>
              <w:t>company;</w:t>
            </w:r>
            <w:r w:rsidR="003D747D" w:rsidRPr="003D747D">
              <w:rPr>
                <w:rFonts w:ascii="Arial" w:hAnsi="Arial" w:cs="Arial"/>
                <w:sz w:val="20"/>
                <w:szCs w:val="20"/>
                <w:lang w:eastAsia="zh-TW"/>
              </w:rPr>
              <w:t xml:space="preserve"> although shareholders’ rights attached to shares repurchased by the listed company will be suspended, irrespective of whether they are held by the listed company or a nominee.   </w:t>
            </w:r>
          </w:p>
          <w:p w14:paraId="78D3512A" w14:textId="77777777" w:rsidR="003D747D" w:rsidRDefault="003D747D" w:rsidP="003D747D">
            <w:pPr>
              <w:pStyle w:val="a5"/>
              <w:jc w:val="both"/>
              <w:rPr>
                <w:rFonts w:ascii="Arial" w:hAnsi="Arial" w:cs="Arial"/>
                <w:sz w:val="20"/>
                <w:szCs w:val="20"/>
                <w:lang w:eastAsia="zh-TW"/>
              </w:rPr>
            </w:pPr>
          </w:p>
          <w:p w14:paraId="5DDDBF5A" w14:textId="77777777" w:rsidR="00E20DD4" w:rsidRDefault="00E20DD4" w:rsidP="00D54468">
            <w:pPr>
              <w:pStyle w:val="a5"/>
              <w:numPr>
                <w:ilvl w:val="0"/>
                <w:numId w:val="3"/>
              </w:numPr>
              <w:jc w:val="both"/>
              <w:rPr>
                <w:rFonts w:ascii="Arial" w:hAnsi="Arial" w:cs="Arial"/>
                <w:sz w:val="20"/>
                <w:szCs w:val="20"/>
                <w:lang w:eastAsia="zh-TW"/>
              </w:rPr>
            </w:pPr>
            <w:r>
              <w:rPr>
                <w:rFonts w:ascii="Arial" w:hAnsi="Arial" w:cs="Arial"/>
                <w:sz w:val="20"/>
                <w:szCs w:val="20"/>
                <w:lang w:eastAsia="zh-TW"/>
              </w:rPr>
              <w:t xml:space="preserve">as regards </w:t>
            </w:r>
            <w:r w:rsidRPr="003D747D">
              <w:rPr>
                <w:rFonts w:ascii="Arial" w:hAnsi="Arial" w:cs="Arial"/>
                <w:sz w:val="20"/>
                <w:szCs w:val="20"/>
                <w:lang w:eastAsia="zh-TW"/>
              </w:rPr>
              <w:t>ADSs</w:t>
            </w:r>
            <w:r>
              <w:rPr>
                <w:rFonts w:ascii="Arial" w:hAnsi="Arial" w:cs="Arial"/>
                <w:sz w:val="20"/>
                <w:szCs w:val="20"/>
                <w:lang w:eastAsia="zh-TW"/>
              </w:rPr>
              <w:t xml:space="preserve"> of companies dual-listed on the HKEX and an overseas stock exchange, repurchased </w:t>
            </w:r>
            <w:r w:rsidR="00DA5701" w:rsidRPr="003D747D">
              <w:rPr>
                <w:rFonts w:ascii="Arial" w:hAnsi="Arial" w:cs="Arial"/>
                <w:sz w:val="20"/>
                <w:szCs w:val="20"/>
                <w:lang w:eastAsia="zh-TW"/>
              </w:rPr>
              <w:t xml:space="preserve">ADSs </w:t>
            </w:r>
            <w:r>
              <w:rPr>
                <w:rFonts w:ascii="Arial" w:hAnsi="Arial" w:cs="Arial"/>
                <w:sz w:val="20"/>
                <w:szCs w:val="20"/>
                <w:lang w:eastAsia="zh-TW"/>
              </w:rPr>
              <w:t xml:space="preserve">must be converted </w:t>
            </w:r>
            <w:r w:rsidR="00C6211E" w:rsidRPr="003D747D">
              <w:rPr>
                <w:rFonts w:ascii="Arial" w:hAnsi="Arial" w:cs="Arial"/>
                <w:sz w:val="20"/>
                <w:szCs w:val="20"/>
                <w:lang w:eastAsia="zh-TW"/>
              </w:rPr>
              <w:t xml:space="preserve">into ordinary shares before they can be held </w:t>
            </w:r>
            <w:r>
              <w:rPr>
                <w:rFonts w:ascii="Arial" w:hAnsi="Arial" w:cs="Arial"/>
                <w:sz w:val="20"/>
                <w:szCs w:val="20"/>
                <w:lang w:eastAsia="zh-TW"/>
              </w:rPr>
              <w:t xml:space="preserve">as </w:t>
            </w:r>
            <w:r w:rsidR="00C6211E" w:rsidRPr="003D747D">
              <w:rPr>
                <w:rFonts w:ascii="Arial" w:hAnsi="Arial" w:cs="Arial"/>
                <w:sz w:val="20"/>
                <w:szCs w:val="20"/>
                <w:lang w:eastAsia="zh-TW"/>
              </w:rPr>
              <w:t>treasury</w:t>
            </w:r>
            <w:r>
              <w:rPr>
                <w:rFonts w:ascii="Arial" w:hAnsi="Arial" w:cs="Arial"/>
                <w:sz w:val="20"/>
                <w:szCs w:val="20"/>
                <w:lang w:eastAsia="zh-TW"/>
              </w:rPr>
              <w:t xml:space="preserve"> shares</w:t>
            </w:r>
            <w:r w:rsidR="00C6211E" w:rsidRPr="003D747D">
              <w:rPr>
                <w:rFonts w:ascii="Arial" w:hAnsi="Arial" w:cs="Arial"/>
                <w:sz w:val="20"/>
                <w:szCs w:val="20"/>
                <w:lang w:eastAsia="zh-TW"/>
              </w:rPr>
              <w:t>.</w:t>
            </w:r>
          </w:p>
          <w:p w14:paraId="1F02CCB8" w14:textId="77777777" w:rsidR="00E20DD4" w:rsidRPr="00E20DD4" w:rsidRDefault="00E20DD4" w:rsidP="00E20DD4">
            <w:pPr>
              <w:pStyle w:val="a5"/>
              <w:rPr>
                <w:rFonts w:ascii="Arial" w:hAnsi="Arial" w:cs="Arial"/>
                <w:sz w:val="20"/>
                <w:szCs w:val="20"/>
                <w:lang w:eastAsia="zh-TW"/>
              </w:rPr>
            </w:pPr>
          </w:p>
          <w:p w14:paraId="49746D55" w14:textId="77777777" w:rsidR="00C6211E" w:rsidRDefault="00DA5701" w:rsidP="00E20DD4">
            <w:pPr>
              <w:pStyle w:val="a5"/>
              <w:numPr>
                <w:ilvl w:val="0"/>
                <w:numId w:val="3"/>
              </w:numPr>
              <w:jc w:val="both"/>
              <w:rPr>
                <w:rFonts w:ascii="Arial" w:hAnsi="Arial" w:cs="Arial"/>
                <w:sz w:val="20"/>
                <w:szCs w:val="20"/>
                <w:lang w:eastAsia="zh-TW"/>
              </w:rPr>
            </w:pPr>
            <w:r w:rsidRPr="007470A8">
              <w:rPr>
                <w:rFonts w:ascii="Arial" w:hAnsi="Arial" w:cs="Arial"/>
                <w:sz w:val="20"/>
                <w:szCs w:val="20"/>
                <w:lang w:eastAsia="zh-TW"/>
              </w:rPr>
              <w:t>the use of treasury shares will not be restricted</w:t>
            </w:r>
            <w:r w:rsidR="00E20DD4">
              <w:rPr>
                <w:rFonts w:ascii="Arial" w:hAnsi="Arial" w:cs="Arial"/>
                <w:sz w:val="20"/>
                <w:szCs w:val="20"/>
                <w:lang w:eastAsia="zh-TW"/>
              </w:rPr>
              <w:t xml:space="preserve"> by the HKEX Listing Rules. However, listed companies must ensure that their treasury shares are used only for purposes allowed under the laws of their jurisdiction of incorporation and their constitutional documents.  </w:t>
            </w:r>
          </w:p>
          <w:p w14:paraId="12934274" w14:textId="77777777" w:rsidR="00E20DD4" w:rsidRPr="007470A8" w:rsidRDefault="00E20DD4" w:rsidP="00E20DD4">
            <w:pPr>
              <w:pStyle w:val="a5"/>
              <w:jc w:val="both"/>
              <w:rPr>
                <w:rFonts w:ascii="Arial" w:hAnsi="Arial" w:cs="Arial"/>
                <w:sz w:val="20"/>
                <w:szCs w:val="20"/>
                <w:lang w:eastAsia="zh-TW"/>
              </w:rPr>
            </w:pPr>
          </w:p>
        </w:tc>
      </w:tr>
      <w:tr w:rsidR="00A33923" w:rsidRPr="007470A8" w14:paraId="03D12AD8" w14:textId="77777777" w:rsidTr="004D1795">
        <w:tc>
          <w:tcPr>
            <w:tcW w:w="2263" w:type="dxa"/>
          </w:tcPr>
          <w:p w14:paraId="78AB4501" w14:textId="77777777" w:rsidR="00E20DD4" w:rsidRDefault="00E20DD4" w:rsidP="00331BC8">
            <w:pPr>
              <w:pStyle w:val="a5"/>
              <w:ind w:left="0"/>
              <w:rPr>
                <w:rFonts w:ascii="Arial" w:hAnsi="Arial" w:cs="Arial"/>
                <w:sz w:val="20"/>
                <w:szCs w:val="20"/>
                <w:lang w:eastAsia="zh-TW"/>
              </w:rPr>
            </w:pPr>
          </w:p>
          <w:p w14:paraId="5D833CE2" w14:textId="77777777" w:rsidR="00013104" w:rsidRDefault="00E20DD4" w:rsidP="00331BC8">
            <w:pPr>
              <w:pStyle w:val="a5"/>
              <w:ind w:left="0"/>
              <w:rPr>
                <w:rFonts w:ascii="Arial" w:hAnsi="Arial" w:cs="Arial"/>
                <w:color w:val="FF0000"/>
                <w:sz w:val="20"/>
                <w:szCs w:val="20"/>
                <w:lang w:eastAsia="zh-TW"/>
              </w:rPr>
            </w:pPr>
            <w:r w:rsidRPr="00E20DD4">
              <w:rPr>
                <w:rFonts w:ascii="Arial" w:hAnsi="Arial" w:cs="Arial"/>
                <w:b/>
                <w:color w:val="FF0000"/>
                <w:sz w:val="20"/>
                <w:szCs w:val="20"/>
                <w:lang w:eastAsia="zh-TW"/>
              </w:rPr>
              <w:t>Removal of requirement to cancel repurchased shares</w:t>
            </w:r>
            <w:r w:rsidRPr="00E20DD4">
              <w:rPr>
                <w:rFonts w:ascii="Arial" w:hAnsi="Arial" w:cs="Arial"/>
                <w:color w:val="FF0000"/>
                <w:sz w:val="20"/>
                <w:szCs w:val="20"/>
                <w:lang w:eastAsia="zh-TW"/>
              </w:rPr>
              <w:t xml:space="preserve"> </w:t>
            </w:r>
          </w:p>
          <w:p w14:paraId="0EC39E52" w14:textId="77777777" w:rsidR="00C6211E" w:rsidRPr="007470A8" w:rsidRDefault="00E20DD4" w:rsidP="00331BC8">
            <w:pPr>
              <w:pStyle w:val="a5"/>
              <w:ind w:left="0"/>
              <w:rPr>
                <w:rFonts w:ascii="Arial" w:hAnsi="Arial" w:cs="Arial"/>
                <w:sz w:val="20"/>
                <w:szCs w:val="20"/>
                <w:lang w:eastAsia="zh-TW"/>
              </w:rPr>
            </w:pPr>
            <w:r w:rsidRPr="00013104">
              <w:rPr>
                <w:rFonts w:ascii="Arial" w:hAnsi="Arial" w:cs="Arial"/>
                <w:sz w:val="20"/>
                <w:szCs w:val="20"/>
                <w:lang w:eastAsia="zh-TW"/>
              </w:rPr>
              <w:t>(</w:t>
            </w:r>
            <w:r w:rsidR="00531011">
              <w:rPr>
                <w:rFonts w:ascii="Arial" w:hAnsi="Arial" w:cs="Arial"/>
                <w:sz w:val="20"/>
                <w:szCs w:val="20"/>
                <w:lang w:eastAsia="zh-TW"/>
              </w:rPr>
              <w:t>MB</w:t>
            </w:r>
            <w:r w:rsidR="00531011" w:rsidRPr="007470A8">
              <w:rPr>
                <w:rFonts w:ascii="Arial" w:hAnsi="Arial" w:cs="Arial"/>
                <w:sz w:val="20"/>
                <w:szCs w:val="20"/>
                <w:lang w:eastAsia="zh-TW"/>
              </w:rPr>
              <w:t xml:space="preserve"> </w:t>
            </w:r>
            <w:r w:rsidR="00DA5701" w:rsidRPr="007470A8">
              <w:rPr>
                <w:rFonts w:ascii="Arial" w:hAnsi="Arial" w:cs="Arial"/>
                <w:sz w:val="20"/>
                <w:szCs w:val="20"/>
                <w:lang w:eastAsia="zh-TW"/>
              </w:rPr>
              <w:t>Rule 10.06(5), 19.16 and 19A.24</w:t>
            </w:r>
            <w:r w:rsidR="00DA5701" w:rsidRPr="007470A8">
              <w:rPr>
                <w:rStyle w:val="a8"/>
                <w:rFonts w:ascii="Arial" w:hAnsi="Arial" w:cs="Arial"/>
                <w:sz w:val="20"/>
                <w:szCs w:val="20"/>
                <w:lang w:eastAsia="zh-TW"/>
              </w:rPr>
              <w:footnoteReference w:id="2"/>
            </w:r>
            <w:r>
              <w:rPr>
                <w:rFonts w:ascii="Arial" w:hAnsi="Arial" w:cs="Arial"/>
                <w:sz w:val="20"/>
                <w:szCs w:val="20"/>
                <w:lang w:eastAsia="zh-TW"/>
              </w:rPr>
              <w:t>)</w:t>
            </w:r>
          </w:p>
          <w:p w14:paraId="019D58B4" w14:textId="77777777" w:rsidR="00C6211E" w:rsidRPr="007470A8" w:rsidRDefault="00C6211E" w:rsidP="00331BC8">
            <w:pPr>
              <w:pStyle w:val="a5"/>
              <w:ind w:left="0"/>
              <w:rPr>
                <w:rFonts w:ascii="Arial" w:hAnsi="Arial" w:cs="Arial"/>
                <w:sz w:val="20"/>
                <w:szCs w:val="20"/>
                <w:lang w:eastAsia="zh-TW"/>
              </w:rPr>
            </w:pPr>
          </w:p>
        </w:tc>
        <w:tc>
          <w:tcPr>
            <w:tcW w:w="6661" w:type="dxa"/>
          </w:tcPr>
          <w:p w14:paraId="0C60AB9D" w14:textId="77777777" w:rsidR="00E20DD4" w:rsidRDefault="00E20DD4" w:rsidP="00331BC8">
            <w:pPr>
              <w:pStyle w:val="a5"/>
              <w:ind w:left="0"/>
              <w:jc w:val="both"/>
              <w:rPr>
                <w:rFonts w:ascii="Arial" w:hAnsi="Arial" w:cs="Arial"/>
                <w:sz w:val="20"/>
                <w:szCs w:val="20"/>
                <w:lang w:eastAsia="zh-TW"/>
              </w:rPr>
            </w:pPr>
          </w:p>
          <w:p w14:paraId="73A45EAE" w14:textId="77777777" w:rsidR="00C6211E" w:rsidRPr="007470A8" w:rsidRDefault="004A3A82" w:rsidP="004A3A82">
            <w:pPr>
              <w:pStyle w:val="a5"/>
              <w:ind w:left="0"/>
              <w:jc w:val="both"/>
              <w:rPr>
                <w:rFonts w:ascii="Arial" w:hAnsi="Arial" w:cs="Arial"/>
                <w:sz w:val="20"/>
                <w:szCs w:val="20"/>
                <w:lang w:eastAsia="zh-TW"/>
              </w:rPr>
            </w:pPr>
            <w:r>
              <w:rPr>
                <w:rFonts w:ascii="Arial" w:hAnsi="Arial" w:cs="Arial"/>
                <w:sz w:val="20"/>
                <w:szCs w:val="20"/>
                <w:lang w:eastAsia="zh-TW"/>
              </w:rPr>
              <w:t>The amendments remove t</w:t>
            </w:r>
            <w:r w:rsidR="00DA5701" w:rsidRPr="007470A8">
              <w:rPr>
                <w:rFonts w:ascii="Arial" w:hAnsi="Arial" w:cs="Arial"/>
                <w:sz w:val="20"/>
                <w:szCs w:val="20"/>
                <w:lang w:eastAsia="zh-TW"/>
              </w:rPr>
              <w:t xml:space="preserve">he requirement to cancel repurchased shares </w:t>
            </w:r>
            <w:r>
              <w:rPr>
                <w:rFonts w:ascii="Arial" w:hAnsi="Arial" w:cs="Arial"/>
                <w:sz w:val="20"/>
                <w:szCs w:val="20"/>
                <w:lang w:eastAsia="zh-TW"/>
              </w:rPr>
              <w:t xml:space="preserve">and allow listed companies to hold them as </w:t>
            </w:r>
            <w:r w:rsidRPr="007470A8">
              <w:rPr>
                <w:rFonts w:ascii="Arial" w:hAnsi="Arial" w:cs="Arial"/>
                <w:sz w:val="20"/>
                <w:szCs w:val="20"/>
                <w:lang w:eastAsia="zh-TW"/>
              </w:rPr>
              <w:t>treasury shares</w:t>
            </w:r>
            <w:r>
              <w:rPr>
                <w:rFonts w:ascii="Arial" w:hAnsi="Arial" w:cs="Arial"/>
                <w:sz w:val="20"/>
                <w:szCs w:val="20"/>
                <w:lang w:eastAsia="zh-TW"/>
              </w:rPr>
              <w:t xml:space="preserve">; the repurchased shares will retain their </w:t>
            </w:r>
            <w:r w:rsidR="00DA5701" w:rsidRPr="007470A8">
              <w:rPr>
                <w:rFonts w:ascii="Arial" w:hAnsi="Arial" w:cs="Arial"/>
                <w:sz w:val="20"/>
                <w:szCs w:val="20"/>
                <w:lang w:eastAsia="zh-TW"/>
              </w:rPr>
              <w:t xml:space="preserve">status </w:t>
            </w:r>
            <w:r w:rsidR="00B12A26">
              <w:rPr>
                <w:rFonts w:ascii="Arial" w:hAnsi="Arial" w:cs="Arial"/>
                <w:sz w:val="20"/>
                <w:szCs w:val="20"/>
                <w:lang w:eastAsia="zh-TW"/>
              </w:rPr>
              <w:t>as listed shares.</w:t>
            </w:r>
          </w:p>
        </w:tc>
      </w:tr>
      <w:tr w:rsidR="00A33923" w:rsidRPr="007470A8" w14:paraId="2D9593CF" w14:textId="77777777" w:rsidTr="004D1795">
        <w:tc>
          <w:tcPr>
            <w:tcW w:w="2263" w:type="dxa"/>
          </w:tcPr>
          <w:p w14:paraId="0A655273" w14:textId="77777777" w:rsidR="00E20DD4" w:rsidRDefault="00E20DD4" w:rsidP="00331BC8">
            <w:pPr>
              <w:pStyle w:val="a5"/>
              <w:ind w:left="0"/>
              <w:jc w:val="both"/>
              <w:rPr>
                <w:rFonts w:ascii="Arial" w:hAnsi="Arial" w:cs="Arial"/>
                <w:sz w:val="20"/>
                <w:szCs w:val="20"/>
                <w:lang w:eastAsia="zh-TW"/>
              </w:rPr>
            </w:pPr>
          </w:p>
          <w:p w14:paraId="6C18BF2C" w14:textId="77777777" w:rsidR="00C6211E" w:rsidRPr="007470A8" w:rsidRDefault="00531011" w:rsidP="00331BC8">
            <w:pPr>
              <w:pStyle w:val="a5"/>
              <w:ind w:left="0"/>
              <w:jc w:val="both"/>
              <w:rPr>
                <w:rFonts w:ascii="Arial" w:hAnsi="Arial" w:cs="Arial"/>
                <w:sz w:val="20"/>
                <w:szCs w:val="20"/>
                <w:lang w:eastAsia="zh-TW"/>
              </w:rPr>
            </w:pPr>
            <w:r>
              <w:rPr>
                <w:rFonts w:ascii="Arial" w:hAnsi="Arial" w:cs="Arial"/>
                <w:sz w:val="20"/>
                <w:szCs w:val="20"/>
                <w:lang w:eastAsia="zh-TW"/>
              </w:rPr>
              <w:t>MB</w:t>
            </w:r>
            <w:r w:rsidRPr="007470A8">
              <w:rPr>
                <w:rFonts w:ascii="Arial" w:hAnsi="Arial" w:cs="Arial"/>
                <w:sz w:val="20"/>
                <w:szCs w:val="20"/>
                <w:lang w:eastAsia="zh-TW"/>
              </w:rPr>
              <w:t xml:space="preserve"> </w:t>
            </w:r>
            <w:r w:rsidR="00DA5701" w:rsidRPr="007470A8">
              <w:rPr>
                <w:rFonts w:ascii="Arial" w:hAnsi="Arial" w:cs="Arial"/>
                <w:sz w:val="20"/>
                <w:szCs w:val="20"/>
                <w:lang w:eastAsia="zh-TW"/>
              </w:rPr>
              <w:t>Rule 10.06(5)</w:t>
            </w:r>
            <w:r w:rsidR="00DA5701" w:rsidRPr="007470A8">
              <w:rPr>
                <w:rStyle w:val="a8"/>
                <w:rFonts w:ascii="Arial" w:hAnsi="Arial" w:cs="Arial"/>
                <w:sz w:val="20"/>
                <w:szCs w:val="20"/>
                <w:lang w:eastAsia="zh-TW"/>
              </w:rPr>
              <w:footnoteReference w:id="3"/>
            </w:r>
          </w:p>
        </w:tc>
        <w:tc>
          <w:tcPr>
            <w:tcW w:w="6661" w:type="dxa"/>
          </w:tcPr>
          <w:p w14:paraId="0C6ADA12" w14:textId="77777777" w:rsidR="00E20DD4" w:rsidRDefault="00E20DD4" w:rsidP="00331BC8">
            <w:pPr>
              <w:pStyle w:val="a5"/>
              <w:ind w:left="0"/>
              <w:jc w:val="both"/>
              <w:rPr>
                <w:rFonts w:ascii="Arial" w:hAnsi="Arial" w:cs="Arial"/>
                <w:sz w:val="20"/>
                <w:szCs w:val="20"/>
                <w:lang w:eastAsia="zh-TW"/>
              </w:rPr>
            </w:pPr>
          </w:p>
          <w:p w14:paraId="7A3CAB58" w14:textId="77777777" w:rsidR="00C6211E" w:rsidRPr="007470A8" w:rsidRDefault="00DA5701" w:rsidP="00331BC8">
            <w:pPr>
              <w:pStyle w:val="a5"/>
              <w:ind w:left="0"/>
              <w:jc w:val="both"/>
              <w:rPr>
                <w:rFonts w:ascii="Arial" w:hAnsi="Arial" w:cs="Arial"/>
                <w:sz w:val="20"/>
                <w:szCs w:val="20"/>
                <w:lang w:eastAsia="zh-TW"/>
              </w:rPr>
            </w:pPr>
            <w:r w:rsidRPr="007470A8">
              <w:rPr>
                <w:rFonts w:ascii="Arial" w:hAnsi="Arial" w:cs="Arial"/>
                <w:sz w:val="20"/>
                <w:szCs w:val="20"/>
                <w:lang w:eastAsia="zh-TW"/>
              </w:rPr>
              <w:t>Listed companies must ensure that treasury shares are clearly identified and segregated.</w:t>
            </w:r>
            <w:r w:rsidR="00B12A26">
              <w:rPr>
                <w:rStyle w:val="a8"/>
                <w:rFonts w:ascii="Arial" w:hAnsi="Arial" w:cs="Arial"/>
                <w:sz w:val="20"/>
                <w:szCs w:val="20"/>
                <w:lang w:eastAsia="zh-TW"/>
              </w:rPr>
              <w:footnoteReference w:id="4"/>
            </w:r>
          </w:p>
          <w:p w14:paraId="048641C3" w14:textId="77777777" w:rsidR="00C6211E" w:rsidRPr="007470A8" w:rsidRDefault="00C6211E" w:rsidP="00331BC8">
            <w:pPr>
              <w:pStyle w:val="a5"/>
              <w:ind w:left="0"/>
              <w:jc w:val="both"/>
              <w:rPr>
                <w:rFonts w:ascii="Arial" w:hAnsi="Arial" w:cs="Arial"/>
                <w:sz w:val="20"/>
                <w:szCs w:val="20"/>
                <w:lang w:eastAsia="zh-TW"/>
              </w:rPr>
            </w:pPr>
          </w:p>
        </w:tc>
      </w:tr>
    </w:tbl>
    <w:p w14:paraId="5E5427FE" w14:textId="77777777" w:rsidR="00776096" w:rsidRPr="007470A8" w:rsidRDefault="00776096" w:rsidP="004D1795">
      <w:pPr>
        <w:spacing w:after="0"/>
        <w:jc w:val="both"/>
        <w:rPr>
          <w:rFonts w:ascii="Arial" w:hAnsi="Arial" w:cs="Arial"/>
          <w:sz w:val="20"/>
          <w:szCs w:val="20"/>
          <w:lang w:eastAsia="zh-TW"/>
        </w:rPr>
      </w:pPr>
    </w:p>
    <w:p w14:paraId="5D8F132A" w14:textId="77777777" w:rsidR="00B12A26" w:rsidRPr="00B12A26" w:rsidRDefault="00B12A26" w:rsidP="004D1795">
      <w:pPr>
        <w:spacing w:after="0"/>
        <w:ind w:left="426"/>
        <w:jc w:val="both"/>
        <w:rPr>
          <w:rFonts w:ascii="Arial" w:hAnsi="Arial" w:cs="Arial"/>
          <w:b/>
          <w:sz w:val="20"/>
          <w:szCs w:val="20"/>
          <w:lang w:eastAsia="zh-TW"/>
        </w:rPr>
      </w:pPr>
      <w:r w:rsidRPr="00B12A26">
        <w:rPr>
          <w:rFonts w:ascii="Arial" w:hAnsi="Arial" w:cs="Arial"/>
          <w:b/>
          <w:sz w:val="20"/>
          <w:szCs w:val="20"/>
          <w:lang w:eastAsia="zh-TW"/>
        </w:rPr>
        <w:t>Holding Treasury Shares in CCASS</w:t>
      </w:r>
    </w:p>
    <w:p w14:paraId="54DF0E92" w14:textId="77777777" w:rsidR="00B12A26" w:rsidRDefault="00B12A26" w:rsidP="004D1795">
      <w:pPr>
        <w:spacing w:after="0"/>
        <w:ind w:left="426"/>
        <w:jc w:val="both"/>
        <w:rPr>
          <w:rFonts w:ascii="Arial" w:hAnsi="Arial" w:cs="Arial"/>
          <w:sz w:val="20"/>
          <w:szCs w:val="20"/>
          <w:lang w:eastAsia="zh-TW"/>
        </w:rPr>
      </w:pPr>
    </w:p>
    <w:p w14:paraId="0C3EC87D" w14:textId="77777777" w:rsidR="008974E3" w:rsidRDefault="00B12A26" w:rsidP="004D1795">
      <w:pPr>
        <w:spacing w:after="0"/>
        <w:ind w:left="426"/>
        <w:jc w:val="both"/>
        <w:rPr>
          <w:rFonts w:ascii="Arial" w:hAnsi="Arial" w:cs="Arial"/>
          <w:sz w:val="20"/>
          <w:szCs w:val="20"/>
          <w:lang w:eastAsia="zh-TW"/>
        </w:rPr>
      </w:pPr>
      <w:r>
        <w:rPr>
          <w:rFonts w:ascii="Arial" w:hAnsi="Arial" w:cs="Arial"/>
          <w:sz w:val="20"/>
          <w:szCs w:val="20"/>
          <w:lang w:eastAsia="zh-TW"/>
        </w:rPr>
        <w:lastRenderedPageBreak/>
        <w:t xml:space="preserve">GL119-24 notes that listed companies </w:t>
      </w:r>
      <w:r w:rsidR="008974E3">
        <w:rPr>
          <w:rFonts w:ascii="Arial" w:hAnsi="Arial" w:cs="Arial"/>
          <w:sz w:val="20"/>
          <w:szCs w:val="20"/>
          <w:lang w:eastAsia="zh-TW"/>
        </w:rPr>
        <w:t>can hold treasury shares that they intend to resell with CCASS registered in the name of HKSCC Nominees Limited (</w:t>
      </w:r>
      <w:r w:rsidR="008974E3" w:rsidRPr="008974E3">
        <w:rPr>
          <w:rFonts w:ascii="Arial" w:hAnsi="Arial" w:cs="Arial"/>
          <w:b/>
          <w:sz w:val="20"/>
          <w:szCs w:val="20"/>
          <w:lang w:eastAsia="zh-TW"/>
        </w:rPr>
        <w:t>HKSCCN</w:t>
      </w:r>
      <w:r w:rsidR="008974E3">
        <w:rPr>
          <w:rFonts w:ascii="Arial" w:hAnsi="Arial" w:cs="Arial"/>
          <w:sz w:val="20"/>
          <w:szCs w:val="20"/>
          <w:lang w:eastAsia="zh-TW"/>
        </w:rPr>
        <w:t xml:space="preserve">) </w:t>
      </w:r>
      <w:r w:rsidR="008974E3" w:rsidRPr="008974E3">
        <w:rPr>
          <w:rFonts w:ascii="Arial" w:hAnsi="Arial" w:cs="Arial"/>
          <w:sz w:val="20"/>
          <w:szCs w:val="20"/>
          <w:lang w:eastAsia="zh-TW"/>
        </w:rPr>
        <w:t>as</w:t>
      </w:r>
      <w:r w:rsidR="008974E3">
        <w:rPr>
          <w:rFonts w:ascii="Arial" w:hAnsi="Arial" w:cs="Arial"/>
          <w:sz w:val="20"/>
          <w:szCs w:val="20"/>
          <w:lang w:eastAsia="zh-TW"/>
        </w:rPr>
        <w:t xml:space="preserve"> a common nominee. To enable treasury shares held in CCASS to be identified, listed companies are required to hold their treasury shares in a segregated CCASS account (which can be opened by a broker or custodian for the listed company).</w:t>
      </w:r>
      <w:r w:rsidR="006B30A9">
        <w:rPr>
          <w:rStyle w:val="a8"/>
          <w:rFonts w:ascii="Arial" w:hAnsi="Arial" w:cs="Arial"/>
          <w:sz w:val="20"/>
          <w:szCs w:val="20"/>
          <w:lang w:eastAsia="zh-TW"/>
        </w:rPr>
        <w:footnoteReference w:id="5"/>
      </w:r>
    </w:p>
    <w:p w14:paraId="5F9E27E5" w14:textId="77777777" w:rsidR="008974E3" w:rsidRDefault="008974E3" w:rsidP="004D1795">
      <w:pPr>
        <w:spacing w:after="0"/>
        <w:ind w:left="426"/>
        <w:jc w:val="both"/>
        <w:rPr>
          <w:rFonts w:ascii="Arial" w:hAnsi="Arial" w:cs="Arial"/>
          <w:sz w:val="20"/>
          <w:szCs w:val="20"/>
          <w:lang w:eastAsia="zh-TW"/>
        </w:rPr>
      </w:pPr>
    </w:p>
    <w:p w14:paraId="516D56C7" w14:textId="77777777" w:rsidR="008974E3" w:rsidRPr="008974E3" w:rsidRDefault="008974E3" w:rsidP="004D1795">
      <w:pPr>
        <w:spacing w:after="0"/>
        <w:ind w:left="426"/>
        <w:jc w:val="both"/>
        <w:rPr>
          <w:rFonts w:ascii="Arial" w:hAnsi="Arial" w:cs="Arial"/>
          <w:b/>
          <w:i/>
          <w:sz w:val="20"/>
          <w:szCs w:val="20"/>
          <w:lang w:eastAsia="zh-TW"/>
        </w:rPr>
      </w:pPr>
      <w:r w:rsidRPr="008974E3">
        <w:rPr>
          <w:rFonts w:ascii="Arial" w:hAnsi="Arial" w:cs="Arial"/>
          <w:b/>
          <w:i/>
          <w:sz w:val="20"/>
          <w:szCs w:val="20"/>
          <w:lang w:eastAsia="zh-TW"/>
        </w:rPr>
        <w:t>Jurisdictions requiring treasury shares to be held in listed companies’ own names</w:t>
      </w:r>
    </w:p>
    <w:p w14:paraId="6AA70148" w14:textId="77777777" w:rsidR="008974E3" w:rsidRDefault="008974E3" w:rsidP="004D1795">
      <w:pPr>
        <w:spacing w:after="0"/>
        <w:ind w:left="426"/>
        <w:jc w:val="both"/>
        <w:rPr>
          <w:rFonts w:ascii="Arial" w:hAnsi="Arial" w:cs="Arial"/>
          <w:sz w:val="20"/>
          <w:szCs w:val="20"/>
          <w:lang w:eastAsia="zh-TW"/>
        </w:rPr>
      </w:pPr>
    </w:p>
    <w:p w14:paraId="23E92410" w14:textId="77777777" w:rsidR="008974E3" w:rsidRDefault="008974E3" w:rsidP="004D1795">
      <w:pPr>
        <w:spacing w:after="0"/>
        <w:ind w:left="426"/>
        <w:jc w:val="both"/>
        <w:rPr>
          <w:rFonts w:ascii="Arial" w:hAnsi="Arial" w:cs="Arial"/>
          <w:sz w:val="20"/>
          <w:szCs w:val="20"/>
          <w:lang w:eastAsia="zh-TW"/>
        </w:rPr>
      </w:pPr>
      <w:r>
        <w:rPr>
          <w:rFonts w:ascii="Arial" w:hAnsi="Arial" w:cs="Arial"/>
          <w:sz w:val="20"/>
          <w:szCs w:val="20"/>
          <w:lang w:eastAsia="zh-TW"/>
        </w:rPr>
        <w:t xml:space="preserve">Where the listed company is incorporated in a jurisdiction which requires repurchased shares to be held in the listed company’s own name (such as Bermuda or the Cayman Islands), the company should withdraw </w:t>
      </w:r>
      <w:r w:rsidR="002F16F5" w:rsidRPr="007470A8">
        <w:rPr>
          <w:rFonts w:ascii="Arial" w:hAnsi="Arial" w:cs="Arial"/>
          <w:sz w:val="20"/>
          <w:szCs w:val="20"/>
          <w:lang w:eastAsia="zh-TW"/>
        </w:rPr>
        <w:t xml:space="preserve">the repurchased shares </w:t>
      </w:r>
      <w:r>
        <w:rPr>
          <w:rFonts w:ascii="Arial" w:hAnsi="Arial" w:cs="Arial"/>
          <w:sz w:val="20"/>
          <w:szCs w:val="20"/>
          <w:lang w:eastAsia="zh-TW"/>
        </w:rPr>
        <w:t xml:space="preserve">from CCASS and register them in </w:t>
      </w:r>
      <w:r w:rsidR="002F16F5" w:rsidRPr="007470A8">
        <w:rPr>
          <w:rFonts w:ascii="Arial" w:hAnsi="Arial" w:cs="Arial"/>
          <w:sz w:val="20"/>
          <w:szCs w:val="20"/>
          <w:lang w:eastAsia="zh-TW"/>
        </w:rPr>
        <w:t>the company’s own name</w:t>
      </w:r>
      <w:r>
        <w:rPr>
          <w:rFonts w:ascii="Arial" w:hAnsi="Arial" w:cs="Arial"/>
          <w:sz w:val="20"/>
          <w:szCs w:val="20"/>
          <w:lang w:eastAsia="zh-TW"/>
        </w:rPr>
        <w:t xml:space="preserve"> in its register of members</w:t>
      </w:r>
      <w:r w:rsidR="002F16F5" w:rsidRPr="007470A8">
        <w:rPr>
          <w:rFonts w:ascii="Arial" w:hAnsi="Arial" w:cs="Arial"/>
          <w:sz w:val="20"/>
          <w:szCs w:val="20"/>
          <w:lang w:eastAsia="zh-TW"/>
        </w:rPr>
        <w:t xml:space="preserve">. </w:t>
      </w:r>
      <w:r>
        <w:rPr>
          <w:rFonts w:ascii="Arial" w:hAnsi="Arial" w:cs="Arial"/>
          <w:sz w:val="20"/>
          <w:szCs w:val="20"/>
          <w:lang w:eastAsia="zh-TW"/>
        </w:rPr>
        <w:t xml:space="preserve">The listed company can only re-deposit the treasury shares into CCASS if it plans to resell them on HKEX imminently. </w:t>
      </w:r>
    </w:p>
    <w:p w14:paraId="42194BC9" w14:textId="77777777" w:rsidR="008974E3" w:rsidRDefault="008974E3" w:rsidP="004D1795">
      <w:pPr>
        <w:spacing w:after="0"/>
        <w:ind w:left="426"/>
        <w:jc w:val="both"/>
        <w:rPr>
          <w:rFonts w:ascii="Arial" w:hAnsi="Arial" w:cs="Arial"/>
          <w:sz w:val="20"/>
          <w:szCs w:val="20"/>
          <w:lang w:eastAsia="zh-TW"/>
        </w:rPr>
      </w:pPr>
    </w:p>
    <w:p w14:paraId="5F7D2CEB" w14:textId="77777777" w:rsidR="006B30A9" w:rsidRDefault="008974E3" w:rsidP="004D1795">
      <w:pPr>
        <w:spacing w:after="0"/>
        <w:ind w:left="426"/>
        <w:jc w:val="both"/>
        <w:rPr>
          <w:rFonts w:ascii="Arial" w:hAnsi="Arial" w:cs="Arial"/>
          <w:sz w:val="20"/>
          <w:szCs w:val="20"/>
          <w:lang w:eastAsia="zh-TW"/>
        </w:rPr>
      </w:pPr>
      <w:r>
        <w:rPr>
          <w:rFonts w:ascii="Arial" w:hAnsi="Arial" w:cs="Arial"/>
          <w:sz w:val="20"/>
          <w:szCs w:val="20"/>
          <w:lang w:eastAsia="zh-TW"/>
        </w:rPr>
        <w:t xml:space="preserve">Although repurchased shares will no longer be classified as treasury shares under the relevant laws once legal title is transferred to HKSCCN on deposit of the shares into CCASS, </w:t>
      </w:r>
      <w:r w:rsidR="006B30A9">
        <w:rPr>
          <w:rFonts w:ascii="Arial" w:hAnsi="Arial" w:cs="Arial"/>
          <w:sz w:val="20"/>
          <w:szCs w:val="20"/>
          <w:lang w:eastAsia="zh-TW"/>
        </w:rPr>
        <w:t>the repurchased shares will be treated in the same way as treasury shares under the HKEX Listing Rules because they are beneficially owned by the listed company. On depositing repurchased shares into CCASS, the listed company is required to give clear written instructions to its broker and share registrar that the repurchased shares are to be treated as treasury shares under the HKEX Listing Rules.</w:t>
      </w:r>
      <w:r w:rsidR="006B30A9">
        <w:rPr>
          <w:rStyle w:val="a8"/>
          <w:rFonts w:ascii="Arial" w:hAnsi="Arial" w:cs="Arial"/>
          <w:sz w:val="20"/>
          <w:szCs w:val="20"/>
          <w:lang w:eastAsia="zh-TW"/>
        </w:rPr>
        <w:footnoteReference w:id="6"/>
      </w:r>
      <w:r w:rsidR="006B30A9">
        <w:rPr>
          <w:rFonts w:ascii="Arial" w:hAnsi="Arial" w:cs="Arial"/>
          <w:sz w:val="20"/>
          <w:szCs w:val="20"/>
          <w:lang w:eastAsia="zh-TW"/>
        </w:rPr>
        <w:t xml:space="preserve"> </w:t>
      </w:r>
    </w:p>
    <w:p w14:paraId="60311779" w14:textId="77777777" w:rsidR="006B30A9" w:rsidRDefault="006B30A9" w:rsidP="004D1795">
      <w:pPr>
        <w:spacing w:after="0"/>
        <w:ind w:left="426"/>
        <w:jc w:val="both"/>
        <w:rPr>
          <w:rFonts w:ascii="Arial" w:hAnsi="Arial" w:cs="Arial"/>
          <w:sz w:val="20"/>
          <w:szCs w:val="20"/>
          <w:lang w:eastAsia="zh-TW"/>
        </w:rPr>
      </w:pPr>
    </w:p>
    <w:p w14:paraId="565E7092" w14:textId="77777777" w:rsidR="006B30A9" w:rsidRDefault="006B30A9" w:rsidP="004D1795">
      <w:pPr>
        <w:spacing w:after="0"/>
        <w:ind w:left="426"/>
        <w:jc w:val="both"/>
        <w:rPr>
          <w:rFonts w:ascii="Arial" w:hAnsi="Arial" w:cs="Arial"/>
          <w:sz w:val="20"/>
          <w:szCs w:val="20"/>
          <w:lang w:eastAsia="zh-TW"/>
        </w:rPr>
      </w:pPr>
      <w:r w:rsidRPr="008974E3">
        <w:rPr>
          <w:rFonts w:ascii="Arial" w:hAnsi="Arial" w:cs="Arial"/>
          <w:b/>
          <w:i/>
          <w:sz w:val="20"/>
          <w:szCs w:val="20"/>
          <w:lang w:eastAsia="zh-TW"/>
        </w:rPr>
        <w:t xml:space="preserve">Jurisdictions </w:t>
      </w:r>
      <w:r>
        <w:rPr>
          <w:rFonts w:ascii="Arial" w:hAnsi="Arial" w:cs="Arial"/>
          <w:b/>
          <w:i/>
          <w:sz w:val="20"/>
          <w:szCs w:val="20"/>
          <w:lang w:eastAsia="zh-TW"/>
        </w:rPr>
        <w:t>allow</w:t>
      </w:r>
      <w:r w:rsidRPr="008974E3">
        <w:rPr>
          <w:rFonts w:ascii="Arial" w:hAnsi="Arial" w:cs="Arial"/>
          <w:b/>
          <w:i/>
          <w:sz w:val="20"/>
          <w:szCs w:val="20"/>
          <w:lang w:eastAsia="zh-TW"/>
        </w:rPr>
        <w:t>ing treasury shares to be held</w:t>
      </w:r>
      <w:r>
        <w:rPr>
          <w:rFonts w:ascii="Arial" w:hAnsi="Arial" w:cs="Arial"/>
          <w:b/>
          <w:i/>
          <w:sz w:val="20"/>
          <w:szCs w:val="20"/>
          <w:lang w:eastAsia="zh-TW"/>
        </w:rPr>
        <w:t xml:space="preserve"> by nominees</w:t>
      </w:r>
    </w:p>
    <w:p w14:paraId="0011754C" w14:textId="77777777" w:rsidR="006B30A9" w:rsidRDefault="006B30A9" w:rsidP="004D1795">
      <w:pPr>
        <w:spacing w:after="0"/>
        <w:ind w:left="426"/>
        <w:jc w:val="both"/>
        <w:rPr>
          <w:rFonts w:ascii="Arial" w:hAnsi="Arial" w:cs="Arial"/>
          <w:sz w:val="20"/>
          <w:szCs w:val="20"/>
          <w:lang w:eastAsia="zh-TW"/>
        </w:rPr>
      </w:pPr>
    </w:p>
    <w:p w14:paraId="38CD996F" w14:textId="77777777" w:rsidR="006B30A9" w:rsidRPr="006B30A9" w:rsidRDefault="006B30A9" w:rsidP="004D1795">
      <w:pPr>
        <w:spacing w:after="0"/>
        <w:ind w:left="426"/>
        <w:jc w:val="both"/>
        <w:rPr>
          <w:rFonts w:ascii="Arial" w:hAnsi="Arial" w:cs="Arial"/>
          <w:sz w:val="20"/>
          <w:szCs w:val="20"/>
          <w:lang w:eastAsia="zh-TW"/>
        </w:rPr>
      </w:pPr>
      <w:r w:rsidRPr="006B30A9">
        <w:rPr>
          <w:rFonts w:ascii="Arial" w:hAnsi="Arial" w:cs="Arial"/>
          <w:sz w:val="20"/>
          <w:szCs w:val="20"/>
          <w:lang w:eastAsia="zh-TW"/>
        </w:rPr>
        <w:t xml:space="preserve">If the laws of the listed issuer's place of incorporation (e.g. the PRC) do not require treasury shares to be held in the </w:t>
      </w:r>
      <w:r>
        <w:rPr>
          <w:rFonts w:ascii="Arial" w:hAnsi="Arial" w:cs="Arial"/>
          <w:sz w:val="20"/>
          <w:szCs w:val="20"/>
          <w:lang w:eastAsia="zh-TW"/>
        </w:rPr>
        <w:t>listed company’s name, shareholders’</w:t>
      </w:r>
      <w:r w:rsidRPr="006B30A9">
        <w:rPr>
          <w:rFonts w:ascii="Arial" w:hAnsi="Arial" w:cs="Arial"/>
          <w:sz w:val="20"/>
          <w:szCs w:val="20"/>
          <w:lang w:eastAsia="zh-TW"/>
        </w:rPr>
        <w:t xml:space="preserve"> rights attached to the shares will be suspended under the </w:t>
      </w:r>
      <w:r w:rsidR="006A4DE9">
        <w:rPr>
          <w:rFonts w:ascii="Arial" w:hAnsi="Arial" w:cs="Arial"/>
          <w:sz w:val="20"/>
          <w:szCs w:val="20"/>
          <w:lang w:eastAsia="zh-TW"/>
        </w:rPr>
        <w:t xml:space="preserve">relevant </w:t>
      </w:r>
      <w:r w:rsidRPr="006B30A9">
        <w:rPr>
          <w:rFonts w:ascii="Arial" w:hAnsi="Arial" w:cs="Arial"/>
          <w:sz w:val="20"/>
          <w:szCs w:val="20"/>
          <w:lang w:eastAsia="zh-TW"/>
        </w:rPr>
        <w:t>laws once the shares are repurchased by the</w:t>
      </w:r>
      <w:r w:rsidR="006A4DE9">
        <w:rPr>
          <w:rFonts w:ascii="Arial" w:hAnsi="Arial" w:cs="Arial"/>
          <w:sz w:val="20"/>
          <w:szCs w:val="20"/>
          <w:lang w:eastAsia="zh-TW"/>
        </w:rPr>
        <w:t xml:space="preserve"> listed company</w:t>
      </w:r>
      <w:r w:rsidRPr="006B30A9">
        <w:rPr>
          <w:rFonts w:ascii="Arial" w:hAnsi="Arial" w:cs="Arial"/>
          <w:sz w:val="20"/>
          <w:szCs w:val="20"/>
          <w:lang w:eastAsia="zh-TW"/>
        </w:rPr>
        <w:t xml:space="preserve">, regardless of whether they are held in </w:t>
      </w:r>
      <w:r w:rsidR="006A4DE9">
        <w:rPr>
          <w:rFonts w:ascii="Arial" w:hAnsi="Arial" w:cs="Arial"/>
          <w:sz w:val="20"/>
          <w:szCs w:val="20"/>
          <w:lang w:eastAsia="zh-TW"/>
        </w:rPr>
        <w:t xml:space="preserve">its own </w:t>
      </w:r>
      <w:r w:rsidRPr="006B30A9">
        <w:rPr>
          <w:rFonts w:ascii="Arial" w:hAnsi="Arial" w:cs="Arial"/>
          <w:sz w:val="20"/>
          <w:szCs w:val="20"/>
          <w:lang w:eastAsia="zh-TW"/>
        </w:rPr>
        <w:t xml:space="preserve">name </w:t>
      </w:r>
      <w:r w:rsidR="006A4DE9">
        <w:rPr>
          <w:rFonts w:ascii="Arial" w:hAnsi="Arial" w:cs="Arial"/>
          <w:sz w:val="20"/>
          <w:szCs w:val="20"/>
          <w:lang w:eastAsia="zh-TW"/>
        </w:rPr>
        <w:t xml:space="preserve">or that of a </w:t>
      </w:r>
      <w:r w:rsidRPr="006B30A9">
        <w:rPr>
          <w:rFonts w:ascii="Arial" w:hAnsi="Arial" w:cs="Arial"/>
          <w:sz w:val="20"/>
          <w:szCs w:val="20"/>
          <w:lang w:eastAsia="zh-TW"/>
        </w:rPr>
        <w:t xml:space="preserve">nominee. In this case, the </w:t>
      </w:r>
      <w:r w:rsidR="006A4DE9">
        <w:rPr>
          <w:rFonts w:ascii="Arial" w:hAnsi="Arial" w:cs="Arial"/>
          <w:sz w:val="20"/>
          <w:szCs w:val="20"/>
          <w:lang w:eastAsia="zh-TW"/>
        </w:rPr>
        <w:t>listed company</w:t>
      </w:r>
      <w:r w:rsidR="006A4DE9" w:rsidRPr="006B30A9">
        <w:rPr>
          <w:rFonts w:ascii="Arial" w:hAnsi="Arial" w:cs="Arial"/>
          <w:sz w:val="20"/>
          <w:szCs w:val="20"/>
          <w:lang w:eastAsia="zh-TW"/>
        </w:rPr>
        <w:t xml:space="preserve"> </w:t>
      </w:r>
      <w:r w:rsidRPr="006B30A9">
        <w:rPr>
          <w:rFonts w:ascii="Arial" w:hAnsi="Arial" w:cs="Arial"/>
          <w:sz w:val="20"/>
          <w:szCs w:val="20"/>
          <w:lang w:eastAsia="zh-TW"/>
        </w:rPr>
        <w:t>can choose to hold the repurchased shares as treasury shares in a se</w:t>
      </w:r>
      <w:r w:rsidR="006A4DE9">
        <w:rPr>
          <w:rFonts w:ascii="Arial" w:hAnsi="Arial" w:cs="Arial"/>
          <w:sz w:val="20"/>
          <w:szCs w:val="20"/>
          <w:lang w:eastAsia="zh-TW"/>
        </w:rPr>
        <w:t>gregated</w:t>
      </w:r>
      <w:r w:rsidRPr="006B30A9">
        <w:rPr>
          <w:rFonts w:ascii="Arial" w:hAnsi="Arial" w:cs="Arial"/>
          <w:sz w:val="20"/>
          <w:szCs w:val="20"/>
          <w:lang w:eastAsia="zh-TW"/>
        </w:rPr>
        <w:t xml:space="preserve"> account in CCASS. After completing the share repurchase, the </w:t>
      </w:r>
      <w:r w:rsidR="006A4DE9">
        <w:rPr>
          <w:rFonts w:ascii="Arial" w:hAnsi="Arial" w:cs="Arial"/>
          <w:sz w:val="20"/>
          <w:szCs w:val="20"/>
          <w:lang w:eastAsia="zh-TW"/>
        </w:rPr>
        <w:t>listed company</w:t>
      </w:r>
      <w:r w:rsidR="006A4DE9" w:rsidRPr="006B30A9">
        <w:rPr>
          <w:rFonts w:ascii="Arial" w:hAnsi="Arial" w:cs="Arial"/>
          <w:sz w:val="20"/>
          <w:szCs w:val="20"/>
          <w:lang w:eastAsia="zh-TW"/>
        </w:rPr>
        <w:t xml:space="preserve"> </w:t>
      </w:r>
      <w:r w:rsidRPr="006B30A9">
        <w:rPr>
          <w:rFonts w:ascii="Arial" w:hAnsi="Arial" w:cs="Arial"/>
          <w:sz w:val="20"/>
          <w:szCs w:val="20"/>
          <w:lang w:eastAsia="zh-TW"/>
        </w:rPr>
        <w:t>must provide clear written instructions to its share registrar and the relevant broker to update the record and identify the repurchased shares held in CCASS as treasury shares.</w:t>
      </w:r>
      <w:r w:rsidR="006A4DE9">
        <w:rPr>
          <w:rStyle w:val="a8"/>
          <w:rFonts w:ascii="Arial" w:hAnsi="Arial" w:cs="Arial"/>
          <w:sz w:val="20"/>
          <w:szCs w:val="20"/>
          <w:lang w:eastAsia="zh-TW"/>
        </w:rPr>
        <w:footnoteReference w:id="7"/>
      </w:r>
    </w:p>
    <w:p w14:paraId="42841356" w14:textId="77777777" w:rsidR="006B30A9" w:rsidRDefault="006B30A9" w:rsidP="004D1795">
      <w:pPr>
        <w:spacing w:after="0"/>
        <w:ind w:left="426"/>
        <w:jc w:val="both"/>
        <w:rPr>
          <w:rFonts w:ascii="Arial" w:hAnsi="Arial" w:cs="Arial"/>
          <w:sz w:val="20"/>
          <w:szCs w:val="20"/>
          <w:lang w:eastAsia="zh-TW"/>
        </w:rPr>
      </w:pPr>
    </w:p>
    <w:p w14:paraId="5FE6B3D1" w14:textId="77777777" w:rsidR="003A409C" w:rsidRDefault="006A4DE9" w:rsidP="004D1795">
      <w:pPr>
        <w:spacing w:after="0"/>
        <w:ind w:left="426"/>
        <w:jc w:val="both"/>
        <w:rPr>
          <w:rFonts w:ascii="Arial" w:hAnsi="Arial" w:cs="Arial"/>
          <w:sz w:val="20"/>
          <w:szCs w:val="20"/>
          <w:lang w:eastAsia="zh-TW"/>
        </w:rPr>
      </w:pPr>
      <w:r>
        <w:rPr>
          <w:rFonts w:ascii="Arial" w:hAnsi="Arial" w:cs="Arial"/>
          <w:sz w:val="20"/>
          <w:szCs w:val="20"/>
          <w:lang w:eastAsia="zh-TW"/>
        </w:rPr>
        <w:t xml:space="preserve">Pending </w:t>
      </w:r>
      <w:r w:rsidR="002F16F5" w:rsidRPr="007470A8">
        <w:rPr>
          <w:rFonts w:ascii="Arial" w:hAnsi="Arial" w:cs="Arial"/>
          <w:sz w:val="20"/>
          <w:szCs w:val="20"/>
          <w:lang w:eastAsia="zh-TW"/>
        </w:rPr>
        <w:t xml:space="preserve">resale of the treasury shares </w:t>
      </w:r>
      <w:r>
        <w:rPr>
          <w:rFonts w:ascii="Arial" w:hAnsi="Arial" w:cs="Arial"/>
          <w:sz w:val="20"/>
          <w:szCs w:val="20"/>
          <w:lang w:eastAsia="zh-TW"/>
        </w:rPr>
        <w:t xml:space="preserve">on the HKEX, listed companies need to have measures in place to ensure that they </w:t>
      </w:r>
      <w:r w:rsidR="002F16F5" w:rsidRPr="007470A8">
        <w:rPr>
          <w:rFonts w:ascii="Arial" w:hAnsi="Arial" w:cs="Arial"/>
          <w:sz w:val="20"/>
          <w:szCs w:val="20"/>
          <w:lang w:eastAsia="zh-TW"/>
        </w:rPr>
        <w:t xml:space="preserve">will </w:t>
      </w:r>
      <w:r>
        <w:rPr>
          <w:rFonts w:ascii="Arial" w:hAnsi="Arial" w:cs="Arial"/>
          <w:sz w:val="20"/>
          <w:szCs w:val="20"/>
          <w:lang w:eastAsia="zh-TW"/>
        </w:rPr>
        <w:t>not exercise any shareholders’ rights or receive any entitlements as shareholders</w:t>
      </w:r>
      <w:r w:rsidR="003A409C">
        <w:rPr>
          <w:rFonts w:ascii="Arial" w:hAnsi="Arial" w:cs="Arial"/>
          <w:sz w:val="20"/>
          <w:szCs w:val="20"/>
          <w:lang w:eastAsia="zh-TW"/>
        </w:rPr>
        <w:t xml:space="preserve">. Examples of these measures given by the HKEX are </w:t>
      </w:r>
      <w:proofErr w:type="spellStart"/>
      <w:r w:rsidR="003A409C">
        <w:rPr>
          <w:rFonts w:ascii="Arial" w:hAnsi="Arial" w:cs="Arial"/>
          <w:sz w:val="20"/>
          <w:szCs w:val="20"/>
          <w:lang w:eastAsia="zh-TW"/>
        </w:rPr>
        <w:t>board</w:t>
      </w:r>
      <w:proofErr w:type="spellEnd"/>
      <w:r w:rsidR="003A409C">
        <w:rPr>
          <w:rFonts w:ascii="Arial" w:hAnsi="Arial" w:cs="Arial"/>
          <w:sz w:val="20"/>
          <w:szCs w:val="20"/>
          <w:lang w:eastAsia="zh-TW"/>
        </w:rPr>
        <w:t xml:space="preserve"> approval</w:t>
      </w:r>
      <w:r w:rsidR="009B0012">
        <w:rPr>
          <w:rFonts w:ascii="Arial" w:hAnsi="Arial" w:cs="Arial"/>
          <w:sz w:val="20"/>
          <w:szCs w:val="20"/>
          <w:lang w:eastAsia="zh-TW"/>
        </w:rPr>
        <w:t>s</w:t>
      </w:r>
      <w:r w:rsidR="003A409C">
        <w:rPr>
          <w:rFonts w:ascii="Arial" w:hAnsi="Arial" w:cs="Arial"/>
          <w:sz w:val="20"/>
          <w:szCs w:val="20"/>
          <w:lang w:eastAsia="zh-TW"/>
        </w:rPr>
        <w:t xml:space="preserve"> that:</w:t>
      </w:r>
    </w:p>
    <w:p w14:paraId="308D3025" w14:textId="77777777" w:rsidR="003A409C" w:rsidRDefault="003A409C" w:rsidP="004D1795">
      <w:pPr>
        <w:spacing w:after="0"/>
        <w:ind w:left="426"/>
        <w:jc w:val="both"/>
        <w:rPr>
          <w:rFonts w:ascii="Arial" w:hAnsi="Arial" w:cs="Arial"/>
          <w:sz w:val="20"/>
          <w:szCs w:val="20"/>
          <w:lang w:eastAsia="zh-TW"/>
        </w:rPr>
      </w:pPr>
    </w:p>
    <w:p w14:paraId="337CBF67" w14:textId="77777777" w:rsidR="003A409C" w:rsidRDefault="003A409C" w:rsidP="003A409C">
      <w:pPr>
        <w:pStyle w:val="a5"/>
        <w:numPr>
          <w:ilvl w:val="0"/>
          <w:numId w:val="19"/>
        </w:numPr>
        <w:spacing w:after="0"/>
        <w:jc w:val="both"/>
        <w:rPr>
          <w:rFonts w:ascii="Arial" w:hAnsi="Arial" w:cs="Arial"/>
          <w:sz w:val="20"/>
          <w:szCs w:val="20"/>
          <w:lang w:eastAsia="zh-TW"/>
        </w:rPr>
      </w:pPr>
      <w:r>
        <w:rPr>
          <w:rFonts w:ascii="Arial" w:hAnsi="Arial" w:cs="Arial"/>
          <w:sz w:val="20"/>
          <w:szCs w:val="20"/>
          <w:lang w:eastAsia="zh-TW"/>
        </w:rPr>
        <w:t xml:space="preserve">the listed company should procure its broker not to instruct </w:t>
      </w:r>
      <w:r w:rsidRPr="003A409C">
        <w:rPr>
          <w:rFonts w:ascii="Arial" w:hAnsi="Arial" w:cs="Arial"/>
          <w:sz w:val="20"/>
          <w:szCs w:val="20"/>
          <w:lang w:eastAsia="zh-TW"/>
        </w:rPr>
        <w:t>Hong Kong Securities Clearing Company Limited (</w:t>
      </w:r>
      <w:r w:rsidRPr="003A409C">
        <w:rPr>
          <w:rFonts w:ascii="Arial" w:hAnsi="Arial" w:cs="Arial"/>
          <w:b/>
          <w:sz w:val="20"/>
          <w:szCs w:val="20"/>
          <w:lang w:eastAsia="zh-TW"/>
        </w:rPr>
        <w:t>HKSCC</w:t>
      </w:r>
      <w:r w:rsidRPr="003A409C">
        <w:rPr>
          <w:rFonts w:ascii="Arial" w:hAnsi="Arial" w:cs="Arial"/>
          <w:sz w:val="20"/>
          <w:szCs w:val="20"/>
          <w:lang w:eastAsia="zh-TW"/>
        </w:rPr>
        <w:t>) to vote at general meetings for the treasury shares deposited with CCASS; and</w:t>
      </w:r>
    </w:p>
    <w:p w14:paraId="53C7A297" w14:textId="77777777" w:rsidR="003A409C" w:rsidRDefault="003A409C" w:rsidP="003A409C">
      <w:pPr>
        <w:pStyle w:val="a5"/>
        <w:spacing w:after="0"/>
        <w:ind w:left="1146"/>
        <w:jc w:val="both"/>
        <w:rPr>
          <w:rFonts w:ascii="Arial" w:hAnsi="Arial" w:cs="Arial"/>
          <w:sz w:val="20"/>
          <w:szCs w:val="20"/>
          <w:lang w:eastAsia="zh-TW"/>
        </w:rPr>
      </w:pPr>
    </w:p>
    <w:p w14:paraId="2CB56255" w14:textId="77777777" w:rsidR="003A409C" w:rsidRPr="003A409C" w:rsidRDefault="003A409C" w:rsidP="003A409C">
      <w:pPr>
        <w:pStyle w:val="a5"/>
        <w:numPr>
          <w:ilvl w:val="0"/>
          <w:numId w:val="19"/>
        </w:numPr>
        <w:spacing w:after="0"/>
        <w:jc w:val="both"/>
        <w:rPr>
          <w:rFonts w:ascii="Arial" w:hAnsi="Arial" w:cs="Arial"/>
          <w:sz w:val="20"/>
          <w:szCs w:val="20"/>
          <w:lang w:eastAsia="zh-TW"/>
        </w:rPr>
      </w:pPr>
      <w:r w:rsidRPr="003A409C">
        <w:rPr>
          <w:rFonts w:ascii="Arial" w:hAnsi="Arial" w:cs="Arial"/>
          <w:sz w:val="20"/>
          <w:szCs w:val="20"/>
          <w:lang w:eastAsia="zh-TW"/>
        </w:rPr>
        <w:t xml:space="preserve">in the case of dividends or distributions, the </w:t>
      </w:r>
      <w:r>
        <w:rPr>
          <w:rFonts w:ascii="Arial" w:hAnsi="Arial" w:cs="Arial"/>
          <w:sz w:val="20"/>
          <w:szCs w:val="20"/>
          <w:lang w:eastAsia="zh-TW"/>
        </w:rPr>
        <w:t xml:space="preserve">listed company </w:t>
      </w:r>
      <w:r w:rsidRPr="003A409C">
        <w:rPr>
          <w:rFonts w:ascii="Arial" w:hAnsi="Arial" w:cs="Arial"/>
          <w:sz w:val="20"/>
          <w:szCs w:val="20"/>
          <w:lang w:eastAsia="zh-TW"/>
        </w:rPr>
        <w:t>should withdraw the treasury shares from CCASS, and either re-register them in its own name as treasury shares or cancel them, in each case before the record date for the dividends or distributions.</w:t>
      </w:r>
    </w:p>
    <w:p w14:paraId="458A2ACC" w14:textId="77777777" w:rsidR="003A409C" w:rsidRDefault="003A409C" w:rsidP="004D1795">
      <w:pPr>
        <w:spacing w:after="0"/>
        <w:ind w:left="426"/>
        <w:jc w:val="both"/>
        <w:rPr>
          <w:rFonts w:ascii="Arial" w:hAnsi="Arial" w:cs="Arial"/>
          <w:sz w:val="20"/>
          <w:szCs w:val="20"/>
          <w:lang w:eastAsia="zh-TW"/>
        </w:rPr>
      </w:pPr>
    </w:p>
    <w:p w14:paraId="6098BEBB" w14:textId="77777777" w:rsidR="00A20F22" w:rsidRPr="003A409C" w:rsidRDefault="003A409C" w:rsidP="004D1795">
      <w:pPr>
        <w:pStyle w:val="a5"/>
        <w:numPr>
          <w:ilvl w:val="0"/>
          <w:numId w:val="1"/>
        </w:numPr>
        <w:spacing w:after="0"/>
        <w:ind w:left="426"/>
        <w:jc w:val="both"/>
        <w:rPr>
          <w:rFonts w:ascii="Arial" w:hAnsi="Arial" w:cs="Arial"/>
          <w:b/>
          <w:color w:val="FF0000"/>
          <w:sz w:val="20"/>
          <w:szCs w:val="20"/>
          <w:lang w:eastAsia="zh-TW"/>
        </w:rPr>
      </w:pPr>
      <w:r>
        <w:rPr>
          <w:rFonts w:ascii="Arial" w:hAnsi="Arial" w:cs="Arial"/>
          <w:b/>
          <w:color w:val="FF0000"/>
          <w:sz w:val="20"/>
          <w:szCs w:val="20"/>
          <w:lang w:eastAsia="zh-TW"/>
        </w:rPr>
        <w:t>Resale of Treasury S</w:t>
      </w:r>
      <w:r w:rsidR="00DA5701" w:rsidRPr="003A409C">
        <w:rPr>
          <w:rFonts w:ascii="Arial" w:hAnsi="Arial" w:cs="Arial"/>
          <w:b/>
          <w:color w:val="FF0000"/>
          <w:sz w:val="20"/>
          <w:szCs w:val="20"/>
          <w:lang w:eastAsia="zh-TW"/>
        </w:rPr>
        <w:t xml:space="preserve">hares </w:t>
      </w:r>
      <w:r>
        <w:rPr>
          <w:rFonts w:ascii="Arial" w:hAnsi="Arial" w:cs="Arial"/>
          <w:b/>
          <w:color w:val="FF0000"/>
          <w:sz w:val="20"/>
          <w:szCs w:val="20"/>
          <w:lang w:eastAsia="zh-TW"/>
        </w:rPr>
        <w:t>Treated as New S</w:t>
      </w:r>
      <w:r w:rsidR="00DA5701" w:rsidRPr="003A409C">
        <w:rPr>
          <w:rFonts w:ascii="Arial" w:hAnsi="Arial" w:cs="Arial"/>
          <w:b/>
          <w:color w:val="FF0000"/>
          <w:sz w:val="20"/>
          <w:szCs w:val="20"/>
          <w:lang w:eastAsia="zh-TW"/>
        </w:rPr>
        <w:t>hare</w:t>
      </w:r>
      <w:r>
        <w:rPr>
          <w:rFonts w:ascii="Arial" w:hAnsi="Arial" w:cs="Arial"/>
          <w:b/>
          <w:color w:val="FF0000"/>
          <w:sz w:val="20"/>
          <w:szCs w:val="20"/>
          <w:lang w:eastAsia="zh-TW"/>
        </w:rPr>
        <w:t xml:space="preserve"> I</w:t>
      </w:r>
      <w:r w:rsidR="00DA5701" w:rsidRPr="003A409C">
        <w:rPr>
          <w:rFonts w:ascii="Arial" w:hAnsi="Arial" w:cs="Arial"/>
          <w:b/>
          <w:color w:val="FF0000"/>
          <w:sz w:val="20"/>
          <w:szCs w:val="20"/>
          <w:lang w:eastAsia="zh-TW"/>
        </w:rPr>
        <w:t>s</w:t>
      </w:r>
      <w:r>
        <w:rPr>
          <w:rFonts w:ascii="Arial" w:hAnsi="Arial" w:cs="Arial"/>
          <w:b/>
          <w:color w:val="FF0000"/>
          <w:sz w:val="20"/>
          <w:szCs w:val="20"/>
          <w:lang w:eastAsia="zh-TW"/>
        </w:rPr>
        <w:t>sue</w:t>
      </w:r>
    </w:p>
    <w:p w14:paraId="5ED9F7FB" w14:textId="77777777" w:rsidR="00963263" w:rsidRPr="007470A8" w:rsidRDefault="00963263" w:rsidP="004D1795">
      <w:pPr>
        <w:pStyle w:val="a5"/>
        <w:spacing w:after="0"/>
        <w:ind w:left="426"/>
        <w:jc w:val="both"/>
        <w:rPr>
          <w:rFonts w:ascii="Arial" w:hAnsi="Arial" w:cs="Arial"/>
          <w:sz w:val="20"/>
          <w:szCs w:val="20"/>
          <w:lang w:eastAsia="zh-TW"/>
        </w:rPr>
      </w:pPr>
    </w:p>
    <w:p w14:paraId="6B0B2F2C" w14:textId="77777777" w:rsidR="00C33B4D" w:rsidRPr="007470A8" w:rsidRDefault="00DA5701" w:rsidP="004D1795">
      <w:pPr>
        <w:pStyle w:val="a5"/>
        <w:spacing w:after="0"/>
        <w:ind w:left="426"/>
        <w:jc w:val="both"/>
        <w:rPr>
          <w:rFonts w:ascii="Arial" w:hAnsi="Arial" w:cs="Arial"/>
          <w:sz w:val="20"/>
          <w:szCs w:val="20"/>
          <w:lang w:eastAsia="zh-TW"/>
        </w:rPr>
      </w:pPr>
      <w:r w:rsidRPr="007470A8">
        <w:rPr>
          <w:rFonts w:ascii="Arial" w:hAnsi="Arial" w:cs="Arial"/>
          <w:sz w:val="20"/>
          <w:szCs w:val="20"/>
          <w:lang w:eastAsia="zh-TW"/>
        </w:rPr>
        <w:t xml:space="preserve">The HKEX </w:t>
      </w:r>
      <w:r w:rsidR="003A409C">
        <w:rPr>
          <w:rFonts w:ascii="Arial" w:hAnsi="Arial" w:cs="Arial"/>
          <w:sz w:val="20"/>
          <w:szCs w:val="20"/>
          <w:lang w:eastAsia="zh-TW"/>
        </w:rPr>
        <w:t xml:space="preserve">will </w:t>
      </w:r>
      <w:r w:rsidRPr="007470A8">
        <w:rPr>
          <w:rFonts w:ascii="Arial" w:hAnsi="Arial" w:cs="Arial"/>
          <w:sz w:val="20"/>
          <w:szCs w:val="20"/>
          <w:lang w:eastAsia="zh-TW"/>
        </w:rPr>
        <w:t>extend the requirements for the iss</w:t>
      </w:r>
      <w:r w:rsidR="003A409C">
        <w:rPr>
          <w:rFonts w:ascii="Arial" w:hAnsi="Arial" w:cs="Arial"/>
          <w:sz w:val="20"/>
          <w:szCs w:val="20"/>
          <w:lang w:eastAsia="zh-TW"/>
        </w:rPr>
        <w:t>u</w:t>
      </w:r>
      <w:r w:rsidRPr="007470A8">
        <w:rPr>
          <w:rFonts w:ascii="Arial" w:hAnsi="Arial" w:cs="Arial"/>
          <w:sz w:val="20"/>
          <w:szCs w:val="20"/>
          <w:lang w:eastAsia="zh-TW"/>
        </w:rPr>
        <w:t xml:space="preserve">e of new shares to </w:t>
      </w:r>
      <w:r w:rsidR="00D400E0" w:rsidRPr="007470A8">
        <w:rPr>
          <w:rFonts w:ascii="Arial" w:hAnsi="Arial" w:cs="Arial"/>
          <w:sz w:val="20"/>
          <w:szCs w:val="20"/>
          <w:lang w:eastAsia="zh-TW"/>
        </w:rPr>
        <w:t xml:space="preserve">the </w:t>
      </w:r>
      <w:r w:rsidRPr="007470A8">
        <w:rPr>
          <w:rFonts w:ascii="Arial" w:hAnsi="Arial" w:cs="Arial"/>
          <w:sz w:val="20"/>
          <w:szCs w:val="20"/>
          <w:lang w:eastAsia="zh-TW"/>
        </w:rPr>
        <w:t xml:space="preserve">resale of treasury shares. </w:t>
      </w:r>
    </w:p>
    <w:p w14:paraId="271DA6C5" w14:textId="77777777" w:rsidR="00D400E0" w:rsidRPr="007470A8" w:rsidRDefault="00D400E0" w:rsidP="004D1795">
      <w:pPr>
        <w:pStyle w:val="a5"/>
        <w:spacing w:after="0"/>
        <w:ind w:left="426"/>
        <w:jc w:val="both"/>
        <w:rPr>
          <w:rFonts w:ascii="Arial" w:hAnsi="Arial" w:cs="Arial"/>
          <w:sz w:val="20"/>
          <w:szCs w:val="20"/>
          <w:lang w:eastAsia="zh-TW"/>
        </w:rPr>
      </w:pPr>
    </w:p>
    <w:tbl>
      <w:tblPr>
        <w:tblStyle w:val="a4"/>
        <w:tblW w:w="0" w:type="auto"/>
        <w:tblInd w:w="426" w:type="dxa"/>
        <w:tblLook w:val="04A0" w:firstRow="1" w:lastRow="0" w:firstColumn="1" w:lastColumn="0" w:noHBand="0" w:noVBand="1"/>
      </w:tblPr>
      <w:tblGrid>
        <w:gridCol w:w="2263"/>
        <w:gridCol w:w="6661"/>
      </w:tblGrid>
      <w:tr w:rsidR="00CA5F05" w:rsidRPr="007470A8" w14:paraId="5D789793" w14:textId="77777777" w:rsidTr="0003773E">
        <w:trPr>
          <w:trHeight w:val="520"/>
        </w:trPr>
        <w:tc>
          <w:tcPr>
            <w:tcW w:w="2263" w:type="dxa"/>
            <w:shd w:val="clear" w:color="auto" w:fill="F2F2F2" w:themeFill="background1" w:themeFillShade="F2"/>
          </w:tcPr>
          <w:p w14:paraId="379389BE" w14:textId="77777777" w:rsidR="00CA5F05" w:rsidRPr="007470A8" w:rsidRDefault="003A409C" w:rsidP="0003773E">
            <w:pPr>
              <w:pStyle w:val="a5"/>
              <w:ind w:left="0"/>
              <w:jc w:val="both"/>
              <w:rPr>
                <w:rFonts w:ascii="Arial" w:hAnsi="Arial" w:cs="Arial"/>
                <w:sz w:val="20"/>
                <w:szCs w:val="20"/>
                <w:lang w:eastAsia="zh-TW"/>
              </w:rPr>
            </w:pPr>
            <w:r w:rsidRPr="00A16171">
              <w:rPr>
                <w:rFonts w:ascii="Arial" w:hAnsi="Arial" w:cs="Arial"/>
                <w:b/>
                <w:sz w:val="20"/>
                <w:szCs w:val="20"/>
                <w:lang w:eastAsia="zh-TW"/>
              </w:rPr>
              <w:lastRenderedPageBreak/>
              <w:t>Relevant Rules or requirements</w:t>
            </w:r>
          </w:p>
        </w:tc>
        <w:tc>
          <w:tcPr>
            <w:tcW w:w="6661" w:type="dxa"/>
            <w:shd w:val="clear" w:color="auto" w:fill="F2F2F2" w:themeFill="background1" w:themeFillShade="F2"/>
          </w:tcPr>
          <w:p w14:paraId="3217FE03" w14:textId="77777777" w:rsidR="00CA5F05" w:rsidRPr="003A409C" w:rsidRDefault="003A409C" w:rsidP="003A409C">
            <w:pPr>
              <w:pStyle w:val="a5"/>
              <w:ind w:left="0"/>
              <w:jc w:val="center"/>
              <w:rPr>
                <w:rFonts w:ascii="Arial" w:hAnsi="Arial" w:cs="Arial"/>
                <w:b/>
                <w:sz w:val="20"/>
                <w:szCs w:val="20"/>
                <w:lang w:eastAsia="zh-TW"/>
              </w:rPr>
            </w:pPr>
            <w:r w:rsidRPr="003A409C">
              <w:rPr>
                <w:rFonts w:ascii="Arial" w:hAnsi="Arial" w:cs="Arial"/>
                <w:b/>
                <w:sz w:val="20"/>
                <w:szCs w:val="20"/>
                <w:lang w:eastAsia="zh-TW"/>
              </w:rPr>
              <w:t xml:space="preserve">Listing Rule </w:t>
            </w:r>
            <w:r w:rsidR="00CA5F05" w:rsidRPr="003A409C">
              <w:rPr>
                <w:rFonts w:ascii="Arial" w:hAnsi="Arial" w:cs="Arial"/>
                <w:b/>
                <w:sz w:val="20"/>
                <w:szCs w:val="20"/>
                <w:lang w:eastAsia="zh-TW"/>
              </w:rPr>
              <w:t>Amendments</w:t>
            </w:r>
          </w:p>
        </w:tc>
      </w:tr>
      <w:tr w:rsidR="00A33923" w:rsidRPr="007470A8" w14:paraId="6AF776E5" w14:textId="77777777" w:rsidTr="007470A8">
        <w:tc>
          <w:tcPr>
            <w:tcW w:w="8924" w:type="dxa"/>
            <w:gridSpan w:val="2"/>
            <w:shd w:val="clear" w:color="auto" w:fill="F2F2F2" w:themeFill="background1" w:themeFillShade="F2"/>
          </w:tcPr>
          <w:p w14:paraId="765BBE1D" w14:textId="77777777" w:rsidR="00D907F1" w:rsidRPr="003A409C" w:rsidRDefault="00DA5701" w:rsidP="00331BC8">
            <w:pPr>
              <w:pStyle w:val="a5"/>
              <w:ind w:left="0"/>
              <w:jc w:val="both"/>
              <w:rPr>
                <w:rFonts w:ascii="Arial" w:hAnsi="Arial" w:cs="Arial"/>
                <w:b/>
                <w:sz w:val="20"/>
                <w:szCs w:val="20"/>
                <w:lang w:eastAsia="zh-TW"/>
              </w:rPr>
            </w:pPr>
            <w:r w:rsidRPr="003A409C">
              <w:rPr>
                <w:rFonts w:ascii="Arial" w:hAnsi="Arial" w:cs="Arial"/>
                <w:b/>
                <w:sz w:val="20"/>
                <w:szCs w:val="20"/>
                <w:lang w:eastAsia="zh-TW"/>
              </w:rPr>
              <w:t xml:space="preserve">Resale of Treasury shares </w:t>
            </w:r>
          </w:p>
          <w:p w14:paraId="389944F7" w14:textId="77777777" w:rsidR="00D907F1" w:rsidRPr="007470A8" w:rsidRDefault="00D907F1" w:rsidP="00331BC8">
            <w:pPr>
              <w:pStyle w:val="a5"/>
              <w:ind w:left="0"/>
              <w:jc w:val="both"/>
              <w:rPr>
                <w:rFonts w:ascii="Arial" w:hAnsi="Arial" w:cs="Arial"/>
                <w:sz w:val="20"/>
                <w:szCs w:val="20"/>
                <w:lang w:eastAsia="zh-TW"/>
              </w:rPr>
            </w:pPr>
          </w:p>
        </w:tc>
      </w:tr>
      <w:tr w:rsidR="00A33923" w:rsidRPr="007470A8" w14:paraId="602B3992" w14:textId="77777777" w:rsidTr="004D1795">
        <w:tc>
          <w:tcPr>
            <w:tcW w:w="2263" w:type="dxa"/>
          </w:tcPr>
          <w:p w14:paraId="32990DC1" w14:textId="77777777" w:rsidR="003A409C" w:rsidRDefault="003A409C" w:rsidP="004D1795">
            <w:pPr>
              <w:pStyle w:val="a5"/>
              <w:ind w:left="0"/>
              <w:rPr>
                <w:rFonts w:ascii="Arial" w:hAnsi="Arial" w:cs="Arial"/>
                <w:sz w:val="20"/>
                <w:szCs w:val="20"/>
              </w:rPr>
            </w:pPr>
          </w:p>
          <w:p w14:paraId="34B16195" w14:textId="5B51AEAE" w:rsidR="00D400E0" w:rsidRPr="007470A8" w:rsidRDefault="00DA5701" w:rsidP="004D1795">
            <w:pPr>
              <w:pStyle w:val="a5"/>
              <w:ind w:left="0"/>
              <w:rPr>
                <w:rFonts w:ascii="Arial" w:hAnsi="Arial" w:cs="Arial"/>
                <w:sz w:val="20"/>
                <w:szCs w:val="20"/>
              </w:rPr>
            </w:pPr>
            <w:r w:rsidRPr="007470A8">
              <w:rPr>
                <w:rFonts w:ascii="Arial" w:hAnsi="Arial" w:cs="Arial"/>
                <w:sz w:val="20"/>
                <w:szCs w:val="20"/>
              </w:rPr>
              <w:t>MB Rules 2.03(6), 13.36(1A)</w:t>
            </w:r>
            <w:r w:rsidR="005517FF">
              <w:rPr>
                <w:rFonts w:ascii="Arial" w:hAnsi="Arial" w:cs="Arial"/>
                <w:sz w:val="20"/>
                <w:szCs w:val="20"/>
              </w:rPr>
              <w:t>, 13.36(20(b)</w:t>
            </w:r>
            <w:r w:rsidRPr="007470A8">
              <w:rPr>
                <w:rFonts w:ascii="Arial" w:hAnsi="Arial" w:cs="Arial"/>
                <w:sz w:val="20"/>
                <w:szCs w:val="20"/>
              </w:rPr>
              <w:t xml:space="preserve"> and 13.36(8)</w:t>
            </w:r>
            <w:r w:rsidRPr="007470A8">
              <w:rPr>
                <w:rStyle w:val="a8"/>
                <w:rFonts w:ascii="Arial" w:hAnsi="Arial" w:cs="Arial"/>
                <w:sz w:val="20"/>
                <w:szCs w:val="20"/>
              </w:rPr>
              <w:footnoteReference w:id="8"/>
            </w:r>
          </w:p>
          <w:p w14:paraId="13F95B03" w14:textId="77777777" w:rsidR="00A2258C" w:rsidRPr="007470A8" w:rsidRDefault="00A2258C" w:rsidP="004D1795">
            <w:pPr>
              <w:pStyle w:val="a5"/>
              <w:ind w:left="0"/>
              <w:rPr>
                <w:rFonts w:ascii="Arial" w:hAnsi="Arial" w:cs="Arial"/>
                <w:sz w:val="20"/>
                <w:szCs w:val="20"/>
                <w:lang w:eastAsia="zh-TW"/>
              </w:rPr>
            </w:pPr>
          </w:p>
        </w:tc>
        <w:tc>
          <w:tcPr>
            <w:tcW w:w="6661" w:type="dxa"/>
          </w:tcPr>
          <w:p w14:paraId="6025394F" w14:textId="77777777" w:rsidR="003A409C" w:rsidRDefault="003A409C" w:rsidP="004D1795">
            <w:pPr>
              <w:jc w:val="both"/>
              <w:rPr>
                <w:rFonts w:ascii="Arial" w:hAnsi="Arial" w:cs="Arial"/>
                <w:sz w:val="20"/>
                <w:szCs w:val="20"/>
                <w:lang w:eastAsia="zh-TW"/>
              </w:rPr>
            </w:pPr>
          </w:p>
          <w:p w14:paraId="0F1486E2" w14:textId="77777777" w:rsidR="00A2258C" w:rsidRPr="007470A8" w:rsidRDefault="00DA5701" w:rsidP="004D1795">
            <w:pPr>
              <w:jc w:val="both"/>
              <w:rPr>
                <w:rFonts w:ascii="Arial" w:hAnsi="Arial" w:cs="Arial"/>
                <w:sz w:val="20"/>
                <w:szCs w:val="20"/>
                <w:lang w:eastAsia="zh-TW"/>
              </w:rPr>
            </w:pPr>
            <w:r w:rsidRPr="007470A8">
              <w:rPr>
                <w:rFonts w:ascii="Arial" w:hAnsi="Arial" w:cs="Arial"/>
                <w:sz w:val="20"/>
                <w:szCs w:val="20"/>
                <w:lang w:eastAsia="zh-TW"/>
              </w:rPr>
              <w:t>The resale of treasury shares must be conducted on a pre-emptive basis and offered to all shareholders on a pro-rata basis</w:t>
            </w:r>
            <w:r w:rsidR="003A409C">
              <w:rPr>
                <w:rFonts w:ascii="Arial" w:hAnsi="Arial" w:cs="Arial"/>
                <w:sz w:val="20"/>
                <w:szCs w:val="20"/>
                <w:lang w:eastAsia="zh-TW"/>
              </w:rPr>
              <w:t>,</w:t>
            </w:r>
            <w:r w:rsidRPr="007470A8">
              <w:rPr>
                <w:rFonts w:ascii="Arial" w:hAnsi="Arial" w:cs="Arial"/>
                <w:sz w:val="20"/>
                <w:szCs w:val="20"/>
                <w:lang w:eastAsia="zh-TW"/>
              </w:rPr>
              <w:t xml:space="preserve"> or </w:t>
            </w:r>
            <w:r w:rsidR="003A409C">
              <w:rPr>
                <w:rFonts w:ascii="Arial" w:hAnsi="Arial" w:cs="Arial"/>
                <w:sz w:val="20"/>
                <w:szCs w:val="20"/>
                <w:lang w:eastAsia="zh-TW"/>
              </w:rPr>
              <w:t xml:space="preserve">be approved by a specific or general </w:t>
            </w:r>
            <w:r w:rsidRPr="007470A8">
              <w:rPr>
                <w:rFonts w:ascii="Arial" w:hAnsi="Arial" w:cs="Arial"/>
                <w:sz w:val="20"/>
                <w:szCs w:val="20"/>
                <w:lang w:eastAsia="zh-TW"/>
              </w:rPr>
              <w:t xml:space="preserve">shareholder mandate. </w:t>
            </w:r>
            <w:r w:rsidR="003A409C">
              <w:rPr>
                <w:rFonts w:ascii="Arial" w:hAnsi="Arial" w:cs="Arial"/>
                <w:sz w:val="20"/>
                <w:szCs w:val="20"/>
                <w:lang w:eastAsia="zh-TW"/>
              </w:rPr>
              <w:t xml:space="preserve">The number of shares repurchased in the year under a repurchase mandate is added to the general mandate limit. The general mandate limit and repurchase mandate limit are calculated based on </w:t>
            </w:r>
            <w:r w:rsidR="003A409C" w:rsidRPr="005517FF">
              <w:rPr>
                <w:rFonts w:ascii="Arial" w:hAnsi="Arial" w:cs="Arial"/>
                <w:sz w:val="20"/>
                <w:szCs w:val="20"/>
                <w:lang w:eastAsia="zh-TW"/>
              </w:rPr>
              <w:t xml:space="preserve">the number of issued shares excluding treasury shares held by the listed </w:t>
            </w:r>
            <w:r w:rsidR="005517FF">
              <w:rPr>
                <w:rFonts w:ascii="Arial" w:hAnsi="Arial" w:cs="Arial"/>
                <w:sz w:val="20"/>
                <w:szCs w:val="20"/>
                <w:lang w:eastAsia="zh-TW"/>
              </w:rPr>
              <w:t xml:space="preserve">company </w:t>
            </w:r>
            <w:r w:rsidR="003A409C" w:rsidRPr="005517FF">
              <w:rPr>
                <w:rFonts w:ascii="Arial" w:hAnsi="Arial" w:cs="Arial"/>
                <w:sz w:val="20"/>
                <w:szCs w:val="20"/>
                <w:lang w:eastAsia="zh-TW"/>
              </w:rPr>
              <w:t>at the given time</w:t>
            </w:r>
            <w:r w:rsidR="005517FF">
              <w:rPr>
                <w:rFonts w:ascii="Arial" w:hAnsi="Arial" w:cs="Arial"/>
                <w:sz w:val="20"/>
                <w:szCs w:val="20"/>
                <w:lang w:eastAsia="zh-TW"/>
              </w:rPr>
              <w:t>.</w:t>
            </w:r>
          </w:p>
          <w:p w14:paraId="21875742" w14:textId="77777777" w:rsidR="00D400E0" w:rsidRPr="007470A8" w:rsidRDefault="00D400E0" w:rsidP="00331BC8">
            <w:pPr>
              <w:pStyle w:val="a5"/>
              <w:ind w:left="0"/>
              <w:jc w:val="both"/>
              <w:rPr>
                <w:rFonts w:ascii="Arial" w:hAnsi="Arial" w:cs="Arial"/>
                <w:sz w:val="20"/>
                <w:szCs w:val="20"/>
                <w:lang w:eastAsia="zh-TW"/>
              </w:rPr>
            </w:pPr>
          </w:p>
        </w:tc>
      </w:tr>
      <w:tr w:rsidR="00A33923" w:rsidRPr="007470A8" w14:paraId="2A3EA19C" w14:textId="77777777" w:rsidTr="004D1795">
        <w:tc>
          <w:tcPr>
            <w:tcW w:w="2263" w:type="dxa"/>
          </w:tcPr>
          <w:p w14:paraId="754C7186" w14:textId="77777777" w:rsidR="003A409C" w:rsidRDefault="003A409C" w:rsidP="00331BC8">
            <w:pPr>
              <w:pStyle w:val="a5"/>
              <w:ind w:left="0"/>
              <w:jc w:val="both"/>
              <w:rPr>
                <w:rFonts w:ascii="Arial" w:hAnsi="Arial" w:cs="Arial"/>
                <w:sz w:val="20"/>
                <w:szCs w:val="20"/>
              </w:rPr>
            </w:pPr>
          </w:p>
          <w:p w14:paraId="10AC1991" w14:textId="77777777" w:rsidR="00D400E0" w:rsidRPr="007470A8" w:rsidRDefault="00DA5701" w:rsidP="00331BC8">
            <w:pPr>
              <w:pStyle w:val="a5"/>
              <w:ind w:left="0"/>
              <w:jc w:val="both"/>
              <w:rPr>
                <w:rFonts w:ascii="Arial" w:hAnsi="Arial" w:cs="Arial"/>
                <w:sz w:val="20"/>
                <w:szCs w:val="20"/>
              </w:rPr>
            </w:pPr>
            <w:r w:rsidRPr="007470A8">
              <w:rPr>
                <w:rFonts w:ascii="Arial" w:hAnsi="Arial" w:cs="Arial"/>
                <w:sz w:val="20"/>
                <w:szCs w:val="20"/>
              </w:rPr>
              <w:t>MB Rule 13.36(5A)</w:t>
            </w:r>
            <w:r w:rsidRPr="007470A8">
              <w:rPr>
                <w:rStyle w:val="a8"/>
                <w:rFonts w:ascii="Arial" w:hAnsi="Arial" w:cs="Arial"/>
                <w:sz w:val="20"/>
                <w:szCs w:val="20"/>
              </w:rPr>
              <w:footnoteReference w:id="9"/>
            </w:r>
          </w:p>
          <w:p w14:paraId="355D9B21" w14:textId="77777777" w:rsidR="00541BFF" w:rsidRPr="007470A8" w:rsidRDefault="00541BFF" w:rsidP="00331BC8">
            <w:pPr>
              <w:pStyle w:val="a5"/>
              <w:ind w:left="0"/>
              <w:jc w:val="both"/>
              <w:rPr>
                <w:rFonts w:ascii="Arial" w:hAnsi="Arial" w:cs="Arial"/>
                <w:sz w:val="20"/>
                <w:szCs w:val="20"/>
              </w:rPr>
            </w:pPr>
          </w:p>
          <w:p w14:paraId="63151774" w14:textId="77777777" w:rsidR="00541BFF" w:rsidRDefault="00541BFF" w:rsidP="00331BC8">
            <w:pPr>
              <w:pStyle w:val="a5"/>
              <w:ind w:left="0"/>
              <w:jc w:val="both"/>
              <w:rPr>
                <w:rFonts w:ascii="Arial" w:hAnsi="Arial" w:cs="Arial"/>
                <w:sz w:val="20"/>
                <w:szCs w:val="20"/>
              </w:rPr>
            </w:pPr>
          </w:p>
          <w:p w14:paraId="3B31AE82" w14:textId="77777777" w:rsidR="00D63BC3" w:rsidRDefault="00D63BC3" w:rsidP="00331BC8">
            <w:pPr>
              <w:pStyle w:val="a5"/>
              <w:ind w:left="0"/>
              <w:jc w:val="both"/>
              <w:rPr>
                <w:rFonts w:ascii="Arial" w:hAnsi="Arial" w:cs="Arial"/>
                <w:sz w:val="20"/>
                <w:szCs w:val="20"/>
              </w:rPr>
            </w:pPr>
          </w:p>
          <w:p w14:paraId="7C00843E" w14:textId="77777777" w:rsidR="00541BFF" w:rsidRPr="007470A8" w:rsidRDefault="00541BFF" w:rsidP="00331BC8">
            <w:pPr>
              <w:pStyle w:val="a5"/>
              <w:ind w:left="0"/>
              <w:jc w:val="both"/>
              <w:rPr>
                <w:rFonts w:ascii="Arial" w:hAnsi="Arial" w:cs="Arial"/>
                <w:sz w:val="20"/>
                <w:szCs w:val="20"/>
                <w:lang w:eastAsia="zh-TW"/>
              </w:rPr>
            </w:pPr>
          </w:p>
        </w:tc>
        <w:tc>
          <w:tcPr>
            <w:tcW w:w="6661" w:type="dxa"/>
          </w:tcPr>
          <w:p w14:paraId="3ADE489E" w14:textId="77777777" w:rsidR="003A409C" w:rsidRDefault="003A409C" w:rsidP="00CA5F05">
            <w:pPr>
              <w:pStyle w:val="a5"/>
              <w:ind w:left="0"/>
              <w:jc w:val="both"/>
              <w:rPr>
                <w:rFonts w:ascii="Arial" w:hAnsi="Arial" w:cs="Arial"/>
                <w:sz w:val="20"/>
                <w:szCs w:val="20"/>
                <w:lang w:eastAsia="zh-TW"/>
              </w:rPr>
            </w:pPr>
          </w:p>
          <w:p w14:paraId="7C94A63E" w14:textId="77777777" w:rsidR="003A409C" w:rsidRDefault="005517FF" w:rsidP="00CA5F05">
            <w:pPr>
              <w:pStyle w:val="a5"/>
              <w:ind w:left="0"/>
              <w:jc w:val="both"/>
              <w:rPr>
                <w:rFonts w:ascii="Arial" w:hAnsi="Arial" w:cs="Arial"/>
                <w:sz w:val="20"/>
                <w:szCs w:val="20"/>
                <w:lang w:eastAsia="zh-TW"/>
              </w:rPr>
            </w:pPr>
            <w:r w:rsidRPr="005517FF">
              <w:rPr>
                <w:rFonts w:ascii="Arial" w:hAnsi="Arial" w:cs="Arial"/>
                <w:sz w:val="20"/>
                <w:szCs w:val="20"/>
                <w:lang w:eastAsia="zh-TW"/>
              </w:rPr>
              <w:t xml:space="preserve">An on-market resale of treasury shares under the general mandate is subject to a </w:t>
            </w:r>
            <w:r w:rsidR="00DA5701" w:rsidRPr="007470A8">
              <w:rPr>
                <w:rFonts w:ascii="Arial" w:hAnsi="Arial" w:cs="Arial"/>
                <w:sz w:val="20"/>
                <w:szCs w:val="20"/>
                <w:lang w:eastAsia="zh-TW"/>
              </w:rPr>
              <w:t xml:space="preserve">maximum price discount </w:t>
            </w:r>
            <w:r>
              <w:rPr>
                <w:rFonts w:ascii="Arial" w:hAnsi="Arial" w:cs="Arial"/>
                <w:sz w:val="20"/>
                <w:szCs w:val="20"/>
                <w:lang w:eastAsia="zh-TW"/>
              </w:rPr>
              <w:t xml:space="preserve">of </w:t>
            </w:r>
            <w:r w:rsidR="00DA5701" w:rsidRPr="007470A8">
              <w:rPr>
                <w:rFonts w:ascii="Arial" w:hAnsi="Arial" w:cs="Arial"/>
                <w:sz w:val="20"/>
                <w:szCs w:val="20"/>
                <w:lang w:eastAsia="zh-TW"/>
              </w:rPr>
              <w:t>20%</w:t>
            </w:r>
            <w:r w:rsidR="00DA5701" w:rsidRPr="007470A8">
              <w:rPr>
                <w:rFonts w:ascii="Arial" w:hAnsi="Arial" w:cs="Arial"/>
                <w:sz w:val="20"/>
                <w:szCs w:val="20"/>
              </w:rPr>
              <w:t xml:space="preserve"> </w:t>
            </w:r>
            <w:r w:rsidR="00DA5701" w:rsidRPr="007470A8">
              <w:rPr>
                <w:rFonts w:ascii="Arial" w:hAnsi="Arial" w:cs="Arial"/>
                <w:sz w:val="20"/>
                <w:szCs w:val="20"/>
                <w:lang w:eastAsia="zh-TW"/>
              </w:rPr>
              <w:t>of the higher of</w:t>
            </w:r>
            <w:r w:rsidR="003A409C">
              <w:rPr>
                <w:rFonts w:ascii="Arial" w:hAnsi="Arial" w:cs="Arial"/>
                <w:sz w:val="20"/>
                <w:szCs w:val="20"/>
                <w:lang w:eastAsia="zh-TW"/>
              </w:rPr>
              <w:t>:</w:t>
            </w:r>
            <w:r w:rsidR="00DA5701" w:rsidRPr="007470A8">
              <w:rPr>
                <w:rFonts w:ascii="Arial" w:hAnsi="Arial" w:cs="Arial"/>
                <w:sz w:val="20"/>
                <w:szCs w:val="20"/>
                <w:lang w:eastAsia="zh-TW"/>
              </w:rPr>
              <w:t xml:space="preserve"> </w:t>
            </w:r>
          </w:p>
          <w:p w14:paraId="6DBA9859" w14:textId="77777777" w:rsidR="003A409C" w:rsidRDefault="003A409C" w:rsidP="00CA5F05">
            <w:pPr>
              <w:pStyle w:val="a5"/>
              <w:ind w:left="0"/>
              <w:jc w:val="both"/>
              <w:rPr>
                <w:rFonts w:ascii="Arial" w:hAnsi="Arial" w:cs="Arial"/>
                <w:sz w:val="20"/>
                <w:szCs w:val="20"/>
                <w:lang w:eastAsia="zh-TW"/>
              </w:rPr>
            </w:pPr>
          </w:p>
          <w:p w14:paraId="2A738A0A" w14:textId="77777777" w:rsidR="003A409C" w:rsidRDefault="00DA5701" w:rsidP="003A409C">
            <w:pPr>
              <w:pStyle w:val="a5"/>
              <w:numPr>
                <w:ilvl w:val="0"/>
                <w:numId w:val="20"/>
              </w:numPr>
              <w:jc w:val="both"/>
              <w:rPr>
                <w:rFonts w:ascii="Arial" w:hAnsi="Arial" w:cs="Arial"/>
                <w:sz w:val="20"/>
                <w:szCs w:val="20"/>
                <w:lang w:eastAsia="zh-TW"/>
              </w:rPr>
            </w:pPr>
            <w:r w:rsidRPr="007470A8">
              <w:rPr>
                <w:rFonts w:ascii="Arial" w:hAnsi="Arial" w:cs="Arial"/>
                <w:sz w:val="20"/>
                <w:szCs w:val="20"/>
                <w:lang w:eastAsia="zh-TW"/>
              </w:rPr>
              <w:t>the closing price on the trading day immediatel</w:t>
            </w:r>
            <w:r w:rsidR="003A409C">
              <w:rPr>
                <w:rFonts w:ascii="Arial" w:hAnsi="Arial" w:cs="Arial"/>
                <w:sz w:val="20"/>
                <w:szCs w:val="20"/>
                <w:lang w:eastAsia="zh-TW"/>
              </w:rPr>
              <w:t xml:space="preserve">y </w:t>
            </w:r>
            <w:r w:rsidR="005517FF">
              <w:rPr>
                <w:rFonts w:ascii="Arial" w:hAnsi="Arial" w:cs="Arial"/>
                <w:sz w:val="20"/>
                <w:szCs w:val="20"/>
                <w:lang w:eastAsia="zh-TW"/>
              </w:rPr>
              <w:t xml:space="preserve">before </w:t>
            </w:r>
            <w:r w:rsidR="003A409C">
              <w:rPr>
                <w:rFonts w:ascii="Arial" w:hAnsi="Arial" w:cs="Arial"/>
                <w:sz w:val="20"/>
                <w:szCs w:val="20"/>
                <w:lang w:eastAsia="zh-TW"/>
              </w:rPr>
              <w:t xml:space="preserve">the resale; and </w:t>
            </w:r>
          </w:p>
          <w:p w14:paraId="2D837747" w14:textId="77777777" w:rsidR="003A409C" w:rsidRDefault="003A409C" w:rsidP="003A409C">
            <w:pPr>
              <w:pStyle w:val="a5"/>
              <w:jc w:val="both"/>
              <w:rPr>
                <w:rFonts w:ascii="Arial" w:hAnsi="Arial" w:cs="Arial"/>
                <w:sz w:val="20"/>
                <w:szCs w:val="20"/>
                <w:lang w:eastAsia="zh-TW"/>
              </w:rPr>
            </w:pPr>
          </w:p>
          <w:p w14:paraId="2783A9DF" w14:textId="77777777" w:rsidR="00541BFF" w:rsidRDefault="00DA5701" w:rsidP="003A409C">
            <w:pPr>
              <w:pStyle w:val="a5"/>
              <w:numPr>
                <w:ilvl w:val="0"/>
                <w:numId w:val="20"/>
              </w:numPr>
              <w:jc w:val="both"/>
              <w:rPr>
                <w:rFonts w:ascii="Arial" w:hAnsi="Arial" w:cs="Arial"/>
                <w:sz w:val="20"/>
                <w:szCs w:val="20"/>
                <w:lang w:eastAsia="zh-TW"/>
              </w:rPr>
            </w:pPr>
            <w:r w:rsidRPr="007470A8">
              <w:rPr>
                <w:rFonts w:ascii="Arial" w:hAnsi="Arial" w:cs="Arial"/>
                <w:sz w:val="20"/>
                <w:szCs w:val="20"/>
                <w:lang w:eastAsia="zh-TW"/>
              </w:rPr>
              <w:t xml:space="preserve">the average closing price in the five trading days immediately </w:t>
            </w:r>
            <w:r w:rsidR="005517FF">
              <w:rPr>
                <w:rFonts w:ascii="Arial" w:hAnsi="Arial" w:cs="Arial"/>
                <w:sz w:val="20"/>
                <w:szCs w:val="20"/>
                <w:lang w:eastAsia="zh-TW"/>
              </w:rPr>
              <w:t xml:space="preserve">before the </w:t>
            </w:r>
            <w:r w:rsidRPr="007470A8">
              <w:rPr>
                <w:rFonts w:ascii="Arial" w:hAnsi="Arial" w:cs="Arial"/>
                <w:sz w:val="20"/>
                <w:szCs w:val="20"/>
                <w:lang w:eastAsia="zh-TW"/>
              </w:rPr>
              <w:t>resale.</w:t>
            </w:r>
          </w:p>
          <w:p w14:paraId="0118AA01" w14:textId="77777777" w:rsidR="003A409C" w:rsidRPr="00CA5F05" w:rsidRDefault="003A409C" w:rsidP="00CA5F05">
            <w:pPr>
              <w:pStyle w:val="a5"/>
              <w:ind w:left="0"/>
              <w:jc w:val="both"/>
              <w:rPr>
                <w:rFonts w:ascii="Arial" w:hAnsi="Arial" w:cs="Arial"/>
                <w:sz w:val="20"/>
                <w:szCs w:val="20"/>
                <w:lang w:eastAsia="zh-TW"/>
              </w:rPr>
            </w:pPr>
          </w:p>
        </w:tc>
      </w:tr>
      <w:tr w:rsidR="00CA5F05" w:rsidRPr="007470A8" w14:paraId="324AB753" w14:textId="77777777" w:rsidTr="004D1795">
        <w:tc>
          <w:tcPr>
            <w:tcW w:w="2263" w:type="dxa"/>
          </w:tcPr>
          <w:p w14:paraId="3FCAAED2" w14:textId="77777777" w:rsidR="00067497" w:rsidRDefault="00067497" w:rsidP="00331BC8">
            <w:pPr>
              <w:pStyle w:val="a5"/>
              <w:ind w:left="0"/>
              <w:jc w:val="both"/>
              <w:rPr>
                <w:rFonts w:ascii="Arial" w:hAnsi="Arial" w:cs="Arial"/>
                <w:sz w:val="20"/>
                <w:szCs w:val="20"/>
              </w:rPr>
            </w:pPr>
          </w:p>
          <w:p w14:paraId="5DA188C3" w14:textId="77777777" w:rsidR="00CA5F05" w:rsidRPr="007470A8" w:rsidRDefault="00CA5F05" w:rsidP="00331BC8">
            <w:pPr>
              <w:pStyle w:val="a5"/>
              <w:ind w:left="0"/>
              <w:jc w:val="both"/>
              <w:rPr>
                <w:rFonts w:ascii="Arial" w:hAnsi="Arial" w:cs="Arial"/>
                <w:sz w:val="20"/>
                <w:szCs w:val="20"/>
              </w:rPr>
            </w:pPr>
            <w:r w:rsidRPr="007470A8">
              <w:rPr>
                <w:rFonts w:ascii="Arial" w:hAnsi="Arial" w:cs="Arial"/>
                <w:sz w:val="20"/>
                <w:szCs w:val="20"/>
              </w:rPr>
              <w:t>MB Rules 13.36(1A) and 13.36(5)</w:t>
            </w:r>
            <w:r w:rsidRPr="007470A8">
              <w:rPr>
                <w:rStyle w:val="a8"/>
                <w:rFonts w:ascii="Arial" w:hAnsi="Arial" w:cs="Arial"/>
                <w:sz w:val="20"/>
                <w:szCs w:val="20"/>
              </w:rPr>
              <w:footnoteReference w:id="10"/>
            </w:r>
          </w:p>
        </w:tc>
        <w:tc>
          <w:tcPr>
            <w:tcW w:w="6661" w:type="dxa"/>
          </w:tcPr>
          <w:p w14:paraId="19089A87" w14:textId="77777777" w:rsidR="005517FF" w:rsidRDefault="005517FF" w:rsidP="00CA5F05">
            <w:pPr>
              <w:jc w:val="both"/>
              <w:rPr>
                <w:rFonts w:ascii="Arial" w:hAnsi="Arial" w:cs="Arial"/>
                <w:sz w:val="20"/>
                <w:szCs w:val="20"/>
              </w:rPr>
            </w:pPr>
          </w:p>
          <w:p w14:paraId="7A1CDFEB" w14:textId="77777777" w:rsidR="00CA5F05" w:rsidRPr="00CA5F05" w:rsidRDefault="00CA5F05" w:rsidP="00CA5F05">
            <w:pPr>
              <w:jc w:val="both"/>
              <w:rPr>
                <w:rFonts w:ascii="Arial" w:hAnsi="Arial" w:cs="Arial"/>
                <w:sz w:val="20"/>
                <w:szCs w:val="20"/>
                <w:lang w:eastAsia="zh-TW"/>
              </w:rPr>
            </w:pPr>
            <w:r w:rsidRPr="00CA5F05">
              <w:rPr>
                <w:rFonts w:ascii="Arial" w:hAnsi="Arial" w:cs="Arial"/>
                <w:sz w:val="20"/>
                <w:szCs w:val="20"/>
              </w:rPr>
              <w:t>All off-market resale</w:t>
            </w:r>
            <w:r w:rsidR="005517FF">
              <w:rPr>
                <w:rFonts w:ascii="Arial" w:hAnsi="Arial" w:cs="Arial"/>
                <w:sz w:val="20"/>
                <w:szCs w:val="20"/>
              </w:rPr>
              <w:t>s</w:t>
            </w:r>
            <w:r w:rsidRPr="00CA5F05">
              <w:rPr>
                <w:rFonts w:ascii="Arial" w:hAnsi="Arial" w:cs="Arial"/>
                <w:sz w:val="20"/>
                <w:szCs w:val="20"/>
              </w:rPr>
              <w:t xml:space="preserve"> of treasury shares under a general mandate for cash consideration </w:t>
            </w:r>
            <w:r w:rsidR="005517FF">
              <w:rPr>
                <w:rFonts w:ascii="Arial" w:hAnsi="Arial" w:cs="Arial"/>
                <w:sz w:val="20"/>
                <w:szCs w:val="20"/>
              </w:rPr>
              <w:t>are subject</w:t>
            </w:r>
            <w:r w:rsidRPr="00CA5F05">
              <w:rPr>
                <w:rFonts w:ascii="Arial" w:hAnsi="Arial" w:cs="Arial"/>
                <w:sz w:val="20"/>
                <w:szCs w:val="20"/>
              </w:rPr>
              <w:t xml:space="preserve"> to the same price discount limit of 20% as </w:t>
            </w:r>
            <w:r w:rsidR="005517FF">
              <w:rPr>
                <w:rFonts w:ascii="Arial" w:hAnsi="Arial" w:cs="Arial"/>
                <w:sz w:val="20"/>
                <w:szCs w:val="20"/>
              </w:rPr>
              <w:t>new share</w:t>
            </w:r>
            <w:r w:rsidRPr="00CA5F05">
              <w:rPr>
                <w:rFonts w:ascii="Arial" w:hAnsi="Arial" w:cs="Arial"/>
                <w:sz w:val="20"/>
                <w:szCs w:val="20"/>
              </w:rPr>
              <w:t xml:space="preserve"> issue</w:t>
            </w:r>
            <w:r w:rsidR="005517FF">
              <w:rPr>
                <w:rFonts w:ascii="Arial" w:hAnsi="Arial" w:cs="Arial"/>
                <w:sz w:val="20"/>
                <w:szCs w:val="20"/>
              </w:rPr>
              <w:t>s</w:t>
            </w:r>
            <w:r w:rsidRPr="00CA5F05">
              <w:rPr>
                <w:rFonts w:ascii="Arial" w:hAnsi="Arial" w:cs="Arial"/>
                <w:sz w:val="20"/>
                <w:szCs w:val="20"/>
              </w:rPr>
              <w:t xml:space="preserve">. </w:t>
            </w:r>
          </w:p>
          <w:p w14:paraId="40C72106" w14:textId="77777777" w:rsidR="00CA5F05" w:rsidRPr="007470A8" w:rsidRDefault="00CA5F05" w:rsidP="00331BC8">
            <w:pPr>
              <w:pStyle w:val="a5"/>
              <w:ind w:left="0"/>
              <w:jc w:val="both"/>
              <w:rPr>
                <w:rFonts w:ascii="Arial" w:hAnsi="Arial" w:cs="Arial"/>
                <w:sz w:val="20"/>
                <w:szCs w:val="20"/>
                <w:lang w:eastAsia="zh-TW"/>
              </w:rPr>
            </w:pPr>
          </w:p>
        </w:tc>
      </w:tr>
      <w:tr w:rsidR="00C645D8" w:rsidRPr="007470A8" w14:paraId="776FD232" w14:textId="77777777" w:rsidTr="004D1795">
        <w:tc>
          <w:tcPr>
            <w:tcW w:w="2263" w:type="dxa"/>
          </w:tcPr>
          <w:p w14:paraId="7767C450" w14:textId="77777777" w:rsidR="00C645D8" w:rsidRDefault="00C645D8" w:rsidP="00331BC8">
            <w:pPr>
              <w:pStyle w:val="a5"/>
              <w:ind w:left="0"/>
              <w:jc w:val="both"/>
              <w:rPr>
                <w:rFonts w:ascii="Arial" w:hAnsi="Arial" w:cs="Arial"/>
                <w:sz w:val="20"/>
                <w:szCs w:val="20"/>
              </w:rPr>
            </w:pPr>
          </w:p>
          <w:p w14:paraId="62E3371B" w14:textId="77777777" w:rsidR="00067497" w:rsidRDefault="00067497" w:rsidP="00331BC8">
            <w:pPr>
              <w:pStyle w:val="a5"/>
              <w:ind w:left="0"/>
              <w:jc w:val="both"/>
              <w:rPr>
                <w:rFonts w:ascii="Arial" w:hAnsi="Arial" w:cs="Arial"/>
                <w:sz w:val="20"/>
                <w:szCs w:val="20"/>
              </w:rPr>
            </w:pPr>
            <w:r>
              <w:rPr>
                <w:rFonts w:ascii="Arial" w:hAnsi="Arial" w:cs="Arial"/>
                <w:sz w:val="20"/>
                <w:szCs w:val="20"/>
              </w:rPr>
              <w:t>PRC issuers</w:t>
            </w:r>
          </w:p>
        </w:tc>
        <w:tc>
          <w:tcPr>
            <w:tcW w:w="6661" w:type="dxa"/>
          </w:tcPr>
          <w:p w14:paraId="41C6055D" w14:textId="77777777" w:rsidR="00C645D8" w:rsidRDefault="00C645D8" w:rsidP="00CA5F05">
            <w:pPr>
              <w:jc w:val="both"/>
              <w:rPr>
                <w:rFonts w:ascii="Arial" w:hAnsi="Arial" w:cs="Arial"/>
                <w:sz w:val="20"/>
                <w:szCs w:val="20"/>
                <w:lang w:eastAsia="zh-TW"/>
              </w:rPr>
            </w:pPr>
          </w:p>
          <w:p w14:paraId="64C8929B" w14:textId="77777777" w:rsidR="00C645D8" w:rsidRDefault="00C645D8" w:rsidP="008E67B4">
            <w:pPr>
              <w:jc w:val="both"/>
              <w:rPr>
                <w:rFonts w:ascii="Arial" w:hAnsi="Arial" w:cs="Arial"/>
                <w:sz w:val="20"/>
                <w:szCs w:val="20"/>
                <w:lang w:eastAsia="zh-TW"/>
              </w:rPr>
            </w:pPr>
            <w:r w:rsidRPr="007470A8">
              <w:rPr>
                <w:rFonts w:ascii="Arial" w:hAnsi="Arial" w:cs="Arial"/>
                <w:sz w:val="20"/>
                <w:szCs w:val="20"/>
                <w:lang w:eastAsia="zh-TW"/>
              </w:rPr>
              <w:t xml:space="preserve">For listed companies incorporated in the PRC, </w:t>
            </w:r>
            <w:r>
              <w:rPr>
                <w:rFonts w:ascii="Arial" w:hAnsi="Arial" w:cs="Arial"/>
                <w:sz w:val="20"/>
                <w:szCs w:val="20"/>
                <w:lang w:eastAsia="zh-TW"/>
              </w:rPr>
              <w:t>Listing Rules 10.05 and 10.06 govern repurchases of shares listed on the HKEX. PRC issuers’ repurchases of A shares are not therefore covered by Listing Rule 13.36.</w:t>
            </w:r>
            <w:r w:rsidR="00067497">
              <w:rPr>
                <w:rFonts w:ascii="Arial" w:hAnsi="Arial" w:cs="Arial"/>
                <w:sz w:val="20"/>
                <w:szCs w:val="20"/>
                <w:lang w:eastAsia="zh-TW"/>
              </w:rPr>
              <w:t xml:space="preserve"> Under PRC law, A+H issuers do not need to cancel their treasury A shares and can hold and use repurchased A shares to satisfy employee share schemes</w:t>
            </w:r>
            <w:r w:rsidR="008C1E6F">
              <w:rPr>
                <w:rFonts w:ascii="Arial" w:hAnsi="Arial" w:cs="Arial"/>
                <w:sz w:val="20"/>
                <w:szCs w:val="20"/>
                <w:lang w:eastAsia="zh-TW"/>
              </w:rPr>
              <w:t xml:space="preserve">, </w:t>
            </w:r>
            <w:r w:rsidR="00067497">
              <w:rPr>
                <w:rFonts w:ascii="Arial" w:hAnsi="Arial" w:cs="Arial"/>
                <w:sz w:val="20"/>
                <w:szCs w:val="20"/>
                <w:lang w:eastAsia="zh-TW"/>
              </w:rPr>
              <w:t xml:space="preserve">for the conversion of convertible securities or for resale in the open market to stabilise the share price. The holding and use of treasury A shares only requires board approval. </w:t>
            </w:r>
            <w:r w:rsidR="008E67B4">
              <w:rPr>
                <w:rFonts w:ascii="Arial" w:hAnsi="Arial" w:cs="Arial"/>
                <w:sz w:val="20"/>
                <w:szCs w:val="20"/>
                <w:lang w:eastAsia="zh-TW"/>
              </w:rPr>
              <w:t xml:space="preserve">The resale of treasury A shares will not be subject to the </w:t>
            </w:r>
            <w:r w:rsidR="008C1E6F">
              <w:rPr>
                <w:rFonts w:ascii="Arial" w:hAnsi="Arial" w:cs="Arial"/>
                <w:sz w:val="20"/>
                <w:szCs w:val="20"/>
                <w:lang w:eastAsia="zh-TW"/>
              </w:rPr>
              <w:t xml:space="preserve">HKEX Listing Rules’ </w:t>
            </w:r>
            <w:r w:rsidR="008E67B4">
              <w:rPr>
                <w:rFonts w:ascii="Arial" w:hAnsi="Arial" w:cs="Arial"/>
                <w:sz w:val="20"/>
                <w:szCs w:val="20"/>
                <w:lang w:eastAsia="zh-TW"/>
              </w:rPr>
              <w:t>shareholders’ mandate requirement since A shares are not listed on the HKEX and should therefore only be subject to the listing requirements of their home jurisdiction.</w:t>
            </w:r>
          </w:p>
          <w:p w14:paraId="7DAD2BA2" w14:textId="77777777" w:rsidR="008E67B4" w:rsidRDefault="008E67B4" w:rsidP="008E67B4">
            <w:pPr>
              <w:jc w:val="both"/>
              <w:rPr>
                <w:rFonts w:ascii="Arial" w:hAnsi="Arial" w:cs="Arial"/>
                <w:sz w:val="20"/>
                <w:szCs w:val="20"/>
              </w:rPr>
            </w:pPr>
          </w:p>
        </w:tc>
      </w:tr>
      <w:tr w:rsidR="00A33923" w:rsidRPr="007470A8" w14:paraId="595EDBCA" w14:textId="77777777" w:rsidTr="007470A8">
        <w:tc>
          <w:tcPr>
            <w:tcW w:w="8924" w:type="dxa"/>
            <w:gridSpan w:val="2"/>
            <w:shd w:val="clear" w:color="auto" w:fill="F2F2F2" w:themeFill="background1" w:themeFillShade="F2"/>
          </w:tcPr>
          <w:p w14:paraId="17DFBB2F" w14:textId="77777777" w:rsidR="005517FF" w:rsidRDefault="005517FF" w:rsidP="00331BC8">
            <w:pPr>
              <w:jc w:val="both"/>
              <w:rPr>
                <w:rFonts w:ascii="Arial" w:hAnsi="Arial" w:cs="Arial"/>
                <w:sz w:val="20"/>
                <w:szCs w:val="20"/>
                <w:lang w:eastAsia="zh-TW"/>
              </w:rPr>
            </w:pPr>
          </w:p>
          <w:p w14:paraId="7D1CA6A7" w14:textId="77777777" w:rsidR="00C2224E" w:rsidRPr="005517FF" w:rsidRDefault="00DA5701" w:rsidP="00331BC8">
            <w:pPr>
              <w:jc w:val="both"/>
              <w:rPr>
                <w:rFonts w:ascii="Arial" w:hAnsi="Arial" w:cs="Arial"/>
                <w:b/>
                <w:sz w:val="20"/>
                <w:szCs w:val="20"/>
                <w:lang w:eastAsia="zh-TW"/>
              </w:rPr>
            </w:pPr>
            <w:r w:rsidRPr="005517FF">
              <w:rPr>
                <w:rFonts w:ascii="Arial" w:hAnsi="Arial" w:cs="Arial"/>
                <w:b/>
                <w:sz w:val="20"/>
                <w:szCs w:val="20"/>
                <w:lang w:eastAsia="zh-TW"/>
              </w:rPr>
              <w:t>Share Scheme</w:t>
            </w:r>
            <w:r w:rsidR="008C1E6F">
              <w:rPr>
                <w:rFonts w:ascii="Arial" w:hAnsi="Arial" w:cs="Arial"/>
                <w:b/>
                <w:sz w:val="20"/>
                <w:szCs w:val="20"/>
                <w:lang w:eastAsia="zh-TW"/>
              </w:rPr>
              <w:t>s</w:t>
            </w:r>
          </w:p>
          <w:p w14:paraId="4F3257CB" w14:textId="77777777" w:rsidR="00C2224E" w:rsidRPr="007470A8" w:rsidRDefault="00C2224E" w:rsidP="00331BC8">
            <w:pPr>
              <w:jc w:val="both"/>
              <w:rPr>
                <w:rFonts w:ascii="Arial" w:hAnsi="Arial" w:cs="Arial"/>
                <w:sz w:val="20"/>
                <w:szCs w:val="20"/>
                <w:lang w:eastAsia="zh-TW"/>
              </w:rPr>
            </w:pPr>
          </w:p>
        </w:tc>
      </w:tr>
      <w:tr w:rsidR="00A33923" w:rsidRPr="007470A8" w14:paraId="031BA8A3" w14:textId="77777777" w:rsidTr="004D1795">
        <w:tc>
          <w:tcPr>
            <w:tcW w:w="2263" w:type="dxa"/>
          </w:tcPr>
          <w:p w14:paraId="2722B471" w14:textId="77777777" w:rsidR="005517FF" w:rsidRDefault="005517FF" w:rsidP="00331BC8">
            <w:pPr>
              <w:pStyle w:val="a5"/>
              <w:ind w:left="0"/>
              <w:jc w:val="both"/>
              <w:rPr>
                <w:rFonts w:ascii="Arial" w:hAnsi="Arial" w:cs="Arial"/>
                <w:sz w:val="20"/>
                <w:szCs w:val="20"/>
              </w:rPr>
            </w:pPr>
          </w:p>
          <w:p w14:paraId="797127A4" w14:textId="77777777" w:rsidR="00D400E0" w:rsidRPr="007470A8" w:rsidRDefault="00DA5701" w:rsidP="00331BC8">
            <w:pPr>
              <w:pStyle w:val="a5"/>
              <w:ind w:left="0"/>
              <w:jc w:val="both"/>
              <w:rPr>
                <w:rFonts w:ascii="Arial" w:hAnsi="Arial" w:cs="Arial"/>
                <w:sz w:val="20"/>
                <w:szCs w:val="20"/>
              </w:rPr>
            </w:pPr>
            <w:r w:rsidRPr="007470A8">
              <w:rPr>
                <w:rFonts w:ascii="Arial" w:hAnsi="Arial" w:cs="Arial"/>
                <w:sz w:val="20"/>
                <w:szCs w:val="20"/>
              </w:rPr>
              <w:t xml:space="preserve">MB Rules 17.01(4) and 17.02(2) </w:t>
            </w:r>
          </w:p>
          <w:p w14:paraId="050AC18F" w14:textId="77777777" w:rsidR="00C2224E" w:rsidRPr="007470A8" w:rsidRDefault="00C2224E" w:rsidP="00331BC8">
            <w:pPr>
              <w:pStyle w:val="a5"/>
              <w:ind w:left="0"/>
              <w:jc w:val="both"/>
              <w:rPr>
                <w:rFonts w:ascii="Arial" w:hAnsi="Arial" w:cs="Arial"/>
                <w:sz w:val="20"/>
                <w:szCs w:val="20"/>
                <w:lang w:eastAsia="zh-TW"/>
              </w:rPr>
            </w:pPr>
          </w:p>
        </w:tc>
        <w:tc>
          <w:tcPr>
            <w:tcW w:w="6661" w:type="dxa"/>
          </w:tcPr>
          <w:p w14:paraId="08B02B8C" w14:textId="77777777" w:rsidR="005517FF" w:rsidRDefault="005517FF" w:rsidP="004D1795">
            <w:pPr>
              <w:jc w:val="both"/>
              <w:rPr>
                <w:rFonts w:ascii="Arial" w:hAnsi="Arial" w:cs="Arial"/>
                <w:sz w:val="20"/>
                <w:szCs w:val="20"/>
                <w:lang w:eastAsia="zh-TW"/>
              </w:rPr>
            </w:pPr>
          </w:p>
          <w:p w14:paraId="69834DDB" w14:textId="77777777" w:rsidR="00C2224E" w:rsidRPr="007470A8" w:rsidRDefault="005517FF" w:rsidP="004D1795">
            <w:pPr>
              <w:jc w:val="both"/>
              <w:rPr>
                <w:rFonts w:ascii="Arial" w:hAnsi="Arial" w:cs="Arial"/>
                <w:sz w:val="20"/>
                <w:szCs w:val="20"/>
                <w:lang w:eastAsia="zh-TW"/>
              </w:rPr>
            </w:pPr>
            <w:r>
              <w:rPr>
                <w:rFonts w:ascii="Arial" w:hAnsi="Arial" w:cs="Arial"/>
                <w:sz w:val="20"/>
                <w:szCs w:val="20"/>
                <w:lang w:eastAsia="zh-TW"/>
              </w:rPr>
              <w:t>S</w:t>
            </w:r>
            <w:r w:rsidRPr="007470A8">
              <w:rPr>
                <w:rFonts w:ascii="Arial" w:hAnsi="Arial" w:cs="Arial"/>
                <w:sz w:val="20"/>
                <w:szCs w:val="20"/>
                <w:lang w:eastAsia="zh-TW"/>
              </w:rPr>
              <w:t xml:space="preserve">hare schemes </w:t>
            </w:r>
            <w:r>
              <w:rPr>
                <w:rFonts w:ascii="Arial" w:hAnsi="Arial" w:cs="Arial"/>
                <w:sz w:val="20"/>
                <w:szCs w:val="20"/>
                <w:lang w:eastAsia="zh-TW"/>
              </w:rPr>
              <w:t xml:space="preserve">can use treasury shares to satisfy share grants and will be treated as share schemes funded by new shares </w:t>
            </w:r>
            <w:r w:rsidR="00DA5701" w:rsidRPr="007470A8">
              <w:rPr>
                <w:rFonts w:ascii="Arial" w:hAnsi="Arial" w:cs="Arial"/>
                <w:sz w:val="20"/>
                <w:szCs w:val="20"/>
                <w:lang w:eastAsia="zh-TW"/>
              </w:rPr>
              <w:t xml:space="preserve">under Chapter 17 of the </w:t>
            </w:r>
            <w:r w:rsidR="008C1E6F">
              <w:rPr>
                <w:rFonts w:ascii="Arial" w:hAnsi="Arial" w:cs="Arial"/>
                <w:sz w:val="20"/>
                <w:szCs w:val="20"/>
                <w:lang w:eastAsia="zh-TW"/>
              </w:rPr>
              <w:t xml:space="preserve">MB </w:t>
            </w:r>
            <w:r w:rsidR="00DA5701" w:rsidRPr="007470A8">
              <w:rPr>
                <w:rFonts w:ascii="Arial" w:hAnsi="Arial" w:cs="Arial"/>
                <w:sz w:val="20"/>
                <w:szCs w:val="20"/>
                <w:lang w:eastAsia="zh-TW"/>
              </w:rPr>
              <w:t xml:space="preserve">Listing Rules. </w:t>
            </w:r>
            <w:r>
              <w:rPr>
                <w:rFonts w:ascii="Arial" w:hAnsi="Arial" w:cs="Arial"/>
                <w:sz w:val="20"/>
                <w:szCs w:val="20"/>
                <w:lang w:eastAsia="zh-TW"/>
              </w:rPr>
              <w:t xml:space="preserve">Grants of shares under the scheme will be subject to the scheme mandate limit approved by shareholders under Chapter 17. </w:t>
            </w:r>
          </w:p>
          <w:p w14:paraId="6D4ECD02" w14:textId="77777777" w:rsidR="00D400E0" w:rsidRPr="007470A8" w:rsidRDefault="00D400E0" w:rsidP="00331BC8">
            <w:pPr>
              <w:pStyle w:val="a5"/>
              <w:ind w:left="0"/>
              <w:jc w:val="both"/>
              <w:rPr>
                <w:rFonts w:ascii="Arial" w:hAnsi="Arial" w:cs="Arial"/>
                <w:sz w:val="20"/>
                <w:szCs w:val="20"/>
                <w:lang w:eastAsia="zh-TW"/>
              </w:rPr>
            </w:pPr>
          </w:p>
        </w:tc>
      </w:tr>
      <w:tr w:rsidR="00A33923" w:rsidRPr="007470A8" w14:paraId="3F2D2F06" w14:textId="77777777" w:rsidTr="007470A8">
        <w:tc>
          <w:tcPr>
            <w:tcW w:w="8924" w:type="dxa"/>
            <w:gridSpan w:val="2"/>
            <w:shd w:val="clear" w:color="auto" w:fill="F2F2F2" w:themeFill="background1" w:themeFillShade="F2"/>
          </w:tcPr>
          <w:p w14:paraId="57211FB3" w14:textId="77777777" w:rsidR="00C56278" w:rsidRDefault="00C56278" w:rsidP="004D1795">
            <w:pPr>
              <w:jc w:val="both"/>
              <w:rPr>
                <w:rFonts w:ascii="Arial" w:hAnsi="Arial" w:cs="Arial"/>
                <w:b/>
                <w:sz w:val="20"/>
                <w:szCs w:val="20"/>
                <w:lang w:eastAsia="zh-TW"/>
              </w:rPr>
            </w:pPr>
          </w:p>
          <w:p w14:paraId="2CC9EF7F" w14:textId="77777777" w:rsidR="00CE2385" w:rsidRPr="008E67B4" w:rsidRDefault="00DA5701" w:rsidP="004D1795">
            <w:pPr>
              <w:jc w:val="both"/>
              <w:rPr>
                <w:rFonts w:ascii="Arial" w:hAnsi="Arial" w:cs="Arial"/>
                <w:b/>
                <w:sz w:val="20"/>
                <w:szCs w:val="20"/>
                <w:lang w:eastAsia="zh-TW"/>
              </w:rPr>
            </w:pPr>
            <w:r w:rsidRPr="008E67B4">
              <w:rPr>
                <w:rFonts w:ascii="Arial" w:hAnsi="Arial" w:cs="Arial"/>
                <w:b/>
                <w:sz w:val="20"/>
                <w:szCs w:val="20"/>
                <w:lang w:eastAsia="zh-TW"/>
              </w:rPr>
              <w:t xml:space="preserve">Other requirements applicable to the </w:t>
            </w:r>
            <w:r w:rsidR="008E67B4">
              <w:rPr>
                <w:rFonts w:ascii="Arial" w:hAnsi="Arial" w:cs="Arial"/>
                <w:b/>
                <w:sz w:val="20"/>
                <w:szCs w:val="20"/>
                <w:lang w:eastAsia="zh-TW"/>
              </w:rPr>
              <w:t>resale of treasury shares</w:t>
            </w:r>
          </w:p>
          <w:p w14:paraId="59F5A0F8" w14:textId="77777777" w:rsidR="00CE2385" w:rsidRPr="007470A8" w:rsidRDefault="00CE2385" w:rsidP="004D1795">
            <w:pPr>
              <w:jc w:val="both"/>
              <w:rPr>
                <w:rFonts w:ascii="Arial" w:hAnsi="Arial" w:cs="Arial"/>
                <w:sz w:val="20"/>
                <w:szCs w:val="20"/>
                <w:lang w:eastAsia="zh-TW"/>
              </w:rPr>
            </w:pPr>
          </w:p>
        </w:tc>
      </w:tr>
      <w:tr w:rsidR="00A33923" w:rsidRPr="007470A8" w14:paraId="4602B670" w14:textId="77777777" w:rsidTr="004D1795">
        <w:tc>
          <w:tcPr>
            <w:tcW w:w="2263" w:type="dxa"/>
          </w:tcPr>
          <w:p w14:paraId="4371C65B" w14:textId="77777777" w:rsidR="00D400E0" w:rsidRPr="007470A8" w:rsidRDefault="00D400E0" w:rsidP="004D1795">
            <w:pPr>
              <w:pStyle w:val="a5"/>
              <w:ind w:left="0"/>
              <w:rPr>
                <w:rFonts w:ascii="Arial" w:hAnsi="Arial" w:cs="Arial"/>
                <w:sz w:val="20"/>
                <w:szCs w:val="20"/>
                <w:lang w:eastAsia="zh-TW"/>
              </w:rPr>
            </w:pPr>
          </w:p>
        </w:tc>
        <w:tc>
          <w:tcPr>
            <w:tcW w:w="6661" w:type="dxa"/>
          </w:tcPr>
          <w:p w14:paraId="7ED36E57" w14:textId="77777777" w:rsidR="00D400E0" w:rsidRDefault="00DA5701" w:rsidP="004D1795">
            <w:pPr>
              <w:jc w:val="both"/>
              <w:rPr>
                <w:rFonts w:ascii="Arial" w:hAnsi="Arial" w:cs="Arial"/>
                <w:sz w:val="20"/>
                <w:szCs w:val="20"/>
                <w:lang w:eastAsia="zh-TW"/>
              </w:rPr>
            </w:pPr>
            <w:r w:rsidRPr="007470A8">
              <w:rPr>
                <w:rFonts w:ascii="Arial" w:hAnsi="Arial" w:cs="Arial"/>
                <w:sz w:val="20"/>
                <w:szCs w:val="20"/>
                <w:lang w:eastAsia="zh-TW"/>
              </w:rPr>
              <w:t xml:space="preserve">Relevant sections will be amended to reflect </w:t>
            </w:r>
            <w:r w:rsidR="008E67B4">
              <w:rPr>
                <w:rFonts w:ascii="Arial" w:hAnsi="Arial" w:cs="Arial"/>
                <w:sz w:val="20"/>
                <w:szCs w:val="20"/>
                <w:lang w:eastAsia="zh-TW"/>
              </w:rPr>
              <w:t xml:space="preserve">application of </w:t>
            </w:r>
            <w:r w:rsidRPr="007470A8">
              <w:rPr>
                <w:rFonts w:ascii="Arial" w:hAnsi="Arial" w:cs="Arial"/>
                <w:sz w:val="20"/>
                <w:szCs w:val="20"/>
                <w:lang w:eastAsia="zh-TW"/>
              </w:rPr>
              <w:t>the exist</w:t>
            </w:r>
            <w:r w:rsidR="008E67B4">
              <w:rPr>
                <w:rFonts w:ascii="Arial" w:hAnsi="Arial" w:cs="Arial"/>
                <w:sz w:val="20"/>
                <w:szCs w:val="20"/>
                <w:lang w:eastAsia="zh-TW"/>
              </w:rPr>
              <w:t>ing requirements for the issu</w:t>
            </w:r>
            <w:r w:rsidRPr="007470A8">
              <w:rPr>
                <w:rFonts w:ascii="Arial" w:hAnsi="Arial" w:cs="Arial"/>
                <w:sz w:val="20"/>
                <w:szCs w:val="20"/>
                <w:lang w:eastAsia="zh-TW"/>
              </w:rPr>
              <w:t>e of new shares to the treasur</w:t>
            </w:r>
            <w:r w:rsidR="00C4029D" w:rsidRPr="007470A8">
              <w:rPr>
                <w:rFonts w:ascii="Arial" w:hAnsi="Arial" w:cs="Arial"/>
                <w:sz w:val="20"/>
                <w:szCs w:val="20"/>
                <w:lang w:eastAsia="zh-TW"/>
              </w:rPr>
              <w:t xml:space="preserve">y share regime: </w:t>
            </w:r>
          </w:p>
          <w:p w14:paraId="103D0548" w14:textId="77777777" w:rsidR="008E67B4" w:rsidRPr="007470A8" w:rsidRDefault="008E67B4" w:rsidP="004D1795">
            <w:pPr>
              <w:jc w:val="both"/>
              <w:rPr>
                <w:rFonts w:ascii="Arial" w:hAnsi="Arial" w:cs="Arial"/>
                <w:sz w:val="20"/>
                <w:szCs w:val="20"/>
                <w:lang w:eastAsia="zh-TW"/>
              </w:rPr>
            </w:pPr>
          </w:p>
          <w:p w14:paraId="1000506F" w14:textId="67A72C7D" w:rsidR="00C4029D" w:rsidRPr="007470A8" w:rsidRDefault="00DA5701" w:rsidP="004D1795">
            <w:pPr>
              <w:pStyle w:val="a5"/>
              <w:numPr>
                <w:ilvl w:val="0"/>
                <w:numId w:val="14"/>
              </w:numPr>
              <w:rPr>
                <w:rFonts w:ascii="Arial" w:hAnsi="Arial" w:cs="Arial"/>
                <w:sz w:val="20"/>
                <w:szCs w:val="20"/>
                <w:lang w:eastAsia="zh-TW"/>
              </w:rPr>
            </w:pPr>
            <w:r w:rsidRPr="007470A8">
              <w:rPr>
                <w:rFonts w:ascii="Arial" w:hAnsi="Arial" w:cs="Arial"/>
                <w:sz w:val="20"/>
                <w:szCs w:val="20"/>
                <w:lang w:eastAsia="zh-TW"/>
              </w:rPr>
              <w:t xml:space="preserve">Chapter </w:t>
            </w:r>
            <w:proofErr w:type="gramStart"/>
            <w:r w:rsidRPr="007470A8">
              <w:rPr>
                <w:rFonts w:ascii="Arial" w:hAnsi="Arial" w:cs="Arial"/>
                <w:sz w:val="20"/>
                <w:szCs w:val="20"/>
                <w:lang w:eastAsia="zh-TW"/>
              </w:rPr>
              <w:t xml:space="preserve">14  </w:t>
            </w:r>
            <w:r w:rsidR="006F3A0A">
              <w:rPr>
                <w:rFonts w:ascii="Arial" w:hAnsi="Arial" w:cs="Arial"/>
                <w:sz w:val="20"/>
                <w:szCs w:val="20"/>
                <w:lang w:eastAsia="zh-TW"/>
              </w:rPr>
              <w:t>(</w:t>
            </w:r>
            <w:proofErr w:type="gramEnd"/>
            <w:r w:rsidRPr="007470A8">
              <w:rPr>
                <w:rFonts w:ascii="Arial" w:hAnsi="Arial" w:cs="Arial"/>
                <w:sz w:val="20"/>
                <w:szCs w:val="20"/>
                <w:lang w:eastAsia="zh-TW"/>
              </w:rPr>
              <w:t>connected transactions</w:t>
            </w:r>
            <w:r w:rsidR="006F3A0A">
              <w:rPr>
                <w:rFonts w:ascii="Arial" w:hAnsi="Arial" w:cs="Arial"/>
                <w:sz w:val="20"/>
                <w:szCs w:val="20"/>
                <w:lang w:eastAsia="zh-TW"/>
              </w:rPr>
              <w:t>)</w:t>
            </w:r>
          </w:p>
          <w:p w14:paraId="771A6B6B" w14:textId="77777777" w:rsidR="007458D1" w:rsidRDefault="007458D1" w:rsidP="004D1795">
            <w:pPr>
              <w:pStyle w:val="a5"/>
              <w:numPr>
                <w:ilvl w:val="0"/>
                <w:numId w:val="14"/>
              </w:numPr>
              <w:rPr>
                <w:rFonts w:ascii="Arial" w:hAnsi="Arial" w:cs="Arial"/>
                <w:sz w:val="20"/>
                <w:szCs w:val="20"/>
                <w:lang w:eastAsia="zh-TW"/>
              </w:rPr>
            </w:pPr>
            <w:r>
              <w:rPr>
                <w:rFonts w:ascii="Arial" w:hAnsi="Arial" w:cs="Arial"/>
                <w:sz w:val="20"/>
                <w:szCs w:val="20"/>
              </w:rPr>
              <w:t>MB</w:t>
            </w:r>
            <w:r w:rsidRPr="007470A8">
              <w:rPr>
                <w:rFonts w:ascii="Arial" w:hAnsi="Arial" w:cs="Arial"/>
                <w:sz w:val="20"/>
                <w:szCs w:val="20"/>
                <w:lang w:eastAsia="zh-TW"/>
              </w:rPr>
              <w:t xml:space="preserve"> </w:t>
            </w:r>
            <w:r>
              <w:rPr>
                <w:rFonts w:ascii="Arial" w:hAnsi="Arial" w:cs="Arial"/>
                <w:sz w:val="20"/>
                <w:szCs w:val="20"/>
                <w:lang w:eastAsia="zh-TW"/>
              </w:rPr>
              <w:t>Rule 13.28 (announcement)</w:t>
            </w:r>
          </w:p>
          <w:p w14:paraId="4B97D172" w14:textId="77777777" w:rsidR="007458D1" w:rsidRDefault="007458D1" w:rsidP="007458D1">
            <w:pPr>
              <w:pStyle w:val="a5"/>
              <w:numPr>
                <w:ilvl w:val="0"/>
                <w:numId w:val="14"/>
              </w:numPr>
              <w:rPr>
                <w:rFonts w:ascii="Arial" w:hAnsi="Arial" w:cs="Arial"/>
                <w:sz w:val="20"/>
                <w:szCs w:val="20"/>
                <w:lang w:eastAsia="zh-TW"/>
              </w:rPr>
            </w:pPr>
            <w:r>
              <w:rPr>
                <w:rFonts w:ascii="Arial" w:hAnsi="Arial" w:cs="Arial"/>
                <w:sz w:val="20"/>
                <w:szCs w:val="20"/>
              </w:rPr>
              <w:t>MB</w:t>
            </w:r>
            <w:r w:rsidRPr="007470A8">
              <w:rPr>
                <w:rFonts w:ascii="Arial" w:hAnsi="Arial" w:cs="Arial"/>
                <w:sz w:val="20"/>
                <w:szCs w:val="20"/>
                <w:lang w:eastAsia="zh-TW"/>
              </w:rPr>
              <w:t xml:space="preserve"> </w:t>
            </w:r>
            <w:r w:rsidR="00DA5701" w:rsidRPr="007470A8">
              <w:rPr>
                <w:rFonts w:ascii="Arial" w:hAnsi="Arial" w:cs="Arial"/>
                <w:sz w:val="20"/>
                <w:szCs w:val="20"/>
                <w:lang w:eastAsia="zh-TW"/>
              </w:rPr>
              <w:t xml:space="preserve">Rule 11.04 </w:t>
            </w:r>
            <w:r>
              <w:rPr>
                <w:rFonts w:ascii="Arial" w:hAnsi="Arial" w:cs="Arial"/>
                <w:sz w:val="20"/>
                <w:szCs w:val="20"/>
                <w:lang w:eastAsia="zh-TW"/>
              </w:rPr>
              <w:t>(listing document)</w:t>
            </w:r>
          </w:p>
          <w:p w14:paraId="1A4AD9B5" w14:textId="77777777" w:rsidR="00C4029D" w:rsidRPr="007458D1" w:rsidRDefault="007458D1" w:rsidP="007458D1">
            <w:pPr>
              <w:pStyle w:val="a5"/>
              <w:numPr>
                <w:ilvl w:val="0"/>
                <w:numId w:val="14"/>
              </w:numPr>
              <w:rPr>
                <w:rFonts w:ascii="Arial" w:hAnsi="Arial" w:cs="Arial"/>
                <w:sz w:val="20"/>
                <w:szCs w:val="20"/>
                <w:lang w:eastAsia="zh-TW"/>
              </w:rPr>
            </w:pPr>
            <w:r>
              <w:rPr>
                <w:rFonts w:ascii="Arial" w:hAnsi="Arial" w:cs="Arial"/>
                <w:sz w:val="20"/>
                <w:szCs w:val="20"/>
              </w:rPr>
              <w:t>MB</w:t>
            </w:r>
            <w:r w:rsidRPr="007458D1">
              <w:rPr>
                <w:rFonts w:ascii="Arial" w:hAnsi="Arial" w:cs="Arial"/>
                <w:sz w:val="20"/>
                <w:szCs w:val="20"/>
                <w:lang w:eastAsia="zh-TW"/>
              </w:rPr>
              <w:t xml:space="preserve"> </w:t>
            </w:r>
            <w:r w:rsidR="00DA5701" w:rsidRPr="007458D1">
              <w:rPr>
                <w:rFonts w:ascii="Arial" w:hAnsi="Arial" w:cs="Arial"/>
                <w:sz w:val="20"/>
                <w:szCs w:val="20"/>
                <w:lang w:eastAsia="zh-TW"/>
              </w:rPr>
              <w:t xml:space="preserve">Rule 13.25A (next day disclosure return), </w:t>
            </w:r>
          </w:p>
          <w:p w14:paraId="448EBFAF" w14:textId="77777777" w:rsidR="007458D1" w:rsidRDefault="007458D1" w:rsidP="004D1795">
            <w:pPr>
              <w:pStyle w:val="a5"/>
              <w:numPr>
                <w:ilvl w:val="0"/>
                <w:numId w:val="14"/>
              </w:numPr>
              <w:rPr>
                <w:rFonts w:ascii="Arial" w:hAnsi="Arial" w:cs="Arial"/>
                <w:sz w:val="20"/>
                <w:szCs w:val="20"/>
                <w:lang w:eastAsia="zh-TW"/>
              </w:rPr>
            </w:pPr>
            <w:r>
              <w:rPr>
                <w:rFonts w:ascii="Arial" w:hAnsi="Arial" w:cs="Arial"/>
                <w:sz w:val="20"/>
                <w:szCs w:val="20"/>
              </w:rPr>
              <w:t>MB</w:t>
            </w:r>
            <w:r w:rsidRPr="007470A8">
              <w:rPr>
                <w:rFonts w:ascii="Arial" w:hAnsi="Arial" w:cs="Arial"/>
                <w:sz w:val="20"/>
                <w:szCs w:val="20"/>
                <w:lang w:eastAsia="zh-TW"/>
              </w:rPr>
              <w:t xml:space="preserve"> </w:t>
            </w:r>
            <w:r w:rsidR="00DA5701" w:rsidRPr="007470A8">
              <w:rPr>
                <w:rFonts w:ascii="Arial" w:hAnsi="Arial" w:cs="Arial"/>
                <w:sz w:val="20"/>
                <w:szCs w:val="20"/>
                <w:lang w:eastAsia="zh-TW"/>
              </w:rPr>
              <w:t xml:space="preserve">Rule 13.25B (monthly return) </w:t>
            </w:r>
          </w:p>
          <w:p w14:paraId="335C68A1" w14:textId="77777777" w:rsidR="00C4029D" w:rsidRPr="007470A8" w:rsidRDefault="00DA5701" w:rsidP="004D1795">
            <w:pPr>
              <w:pStyle w:val="a5"/>
              <w:numPr>
                <w:ilvl w:val="0"/>
                <w:numId w:val="14"/>
              </w:numPr>
              <w:rPr>
                <w:rFonts w:ascii="Arial" w:hAnsi="Arial" w:cs="Arial"/>
                <w:sz w:val="20"/>
                <w:szCs w:val="20"/>
                <w:lang w:eastAsia="zh-TW"/>
              </w:rPr>
            </w:pPr>
            <w:r w:rsidRPr="007470A8">
              <w:rPr>
                <w:rFonts w:ascii="Arial" w:hAnsi="Arial" w:cs="Arial"/>
                <w:sz w:val="20"/>
                <w:szCs w:val="20"/>
                <w:lang w:eastAsia="zh-TW"/>
              </w:rPr>
              <w:t>Paragraphs 11 and 11A to Appendix D2</w:t>
            </w:r>
            <w:r w:rsidR="007458D1">
              <w:rPr>
                <w:rFonts w:ascii="Arial" w:hAnsi="Arial" w:cs="Arial"/>
                <w:sz w:val="20"/>
                <w:szCs w:val="20"/>
                <w:lang w:eastAsia="zh-TW"/>
              </w:rPr>
              <w:t xml:space="preserve"> of the MB Rules (annual report)</w:t>
            </w:r>
            <w:r w:rsidRPr="007470A8">
              <w:rPr>
                <w:rFonts w:ascii="Arial" w:hAnsi="Arial" w:cs="Arial"/>
                <w:sz w:val="20"/>
                <w:szCs w:val="20"/>
                <w:lang w:eastAsia="zh-TW"/>
              </w:rPr>
              <w:t xml:space="preserve">, </w:t>
            </w:r>
          </w:p>
          <w:p w14:paraId="7B26A9F9" w14:textId="77777777" w:rsidR="00C4029D" w:rsidRPr="007470A8" w:rsidRDefault="007458D1" w:rsidP="004D1795">
            <w:pPr>
              <w:pStyle w:val="a5"/>
              <w:numPr>
                <w:ilvl w:val="0"/>
                <w:numId w:val="14"/>
              </w:numPr>
              <w:jc w:val="both"/>
              <w:rPr>
                <w:rFonts w:ascii="Arial" w:hAnsi="Arial" w:cs="Arial"/>
                <w:sz w:val="20"/>
                <w:szCs w:val="20"/>
                <w:lang w:eastAsia="zh-TW"/>
              </w:rPr>
            </w:pPr>
            <w:r>
              <w:rPr>
                <w:rFonts w:ascii="Arial" w:hAnsi="Arial" w:cs="Arial"/>
                <w:sz w:val="20"/>
                <w:szCs w:val="20"/>
              </w:rPr>
              <w:t>MB</w:t>
            </w:r>
            <w:r w:rsidRPr="007470A8">
              <w:rPr>
                <w:rFonts w:ascii="Arial" w:hAnsi="Arial" w:cs="Arial"/>
                <w:sz w:val="20"/>
                <w:szCs w:val="20"/>
                <w:lang w:eastAsia="zh-TW"/>
              </w:rPr>
              <w:t xml:space="preserve"> </w:t>
            </w:r>
            <w:r w:rsidR="00DA5701" w:rsidRPr="007470A8">
              <w:rPr>
                <w:rFonts w:ascii="Arial" w:hAnsi="Arial" w:cs="Arial"/>
                <w:sz w:val="20"/>
                <w:szCs w:val="20"/>
                <w:lang w:eastAsia="zh-TW"/>
              </w:rPr>
              <w:t>Rules 9.18 to 9.23 (documentary requirements such as a working capital comfort letter for resales with a listing document)</w:t>
            </w:r>
            <w:r w:rsidR="008C1E6F">
              <w:rPr>
                <w:rStyle w:val="a8"/>
                <w:rFonts w:ascii="Arial" w:hAnsi="Arial" w:cs="Arial"/>
                <w:sz w:val="20"/>
                <w:szCs w:val="20"/>
                <w:lang w:eastAsia="zh-TW"/>
              </w:rPr>
              <w:footnoteReference w:id="11"/>
            </w:r>
            <w:r w:rsidR="008C1E6F" w:rsidRPr="007470A8">
              <w:rPr>
                <w:rFonts w:ascii="Arial" w:hAnsi="Arial" w:cs="Arial"/>
                <w:sz w:val="20"/>
                <w:szCs w:val="20"/>
                <w:lang w:eastAsia="zh-TW"/>
              </w:rPr>
              <w:t xml:space="preserve">  </w:t>
            </w:r>
          </w:p>
          <w:p w14:paraId="1553AC39" w14:textId="77777777" w:rsidR="0018253B" w:rsidRPr="00CA5F05" w:rsidRDefault="0018253B" w:rsidP="00CA5F05">
            <w:pPr>
              <w:jc w:val="both"/>
              <w:rPr>
                <w:rFonts w:ascii="Arial" w:hAnsi="Arial" w:cs="Arial"/>
                <w:sz w:val="20"/>
                <w:szCs w:val="20"/>
                <w:lang w:eastAsia="zh-TW"/>
              </w:rPr>
            </w:pPr>
          </w:p>
        </w:tc>
      </w:tr>
      <w:tr w:rsidR="008E67B4" w:rsidRPr="007470A8" w14:paraId="6BAF0579" w14:textId="77777777" w:rsidTr="004D1795">
        <w:tc>
          <w:tcPr>
            <w:tcW w:w="2263" w:type="dxa"/>
          </w:tcPr>
          <w:p w14:paraId="711DB536" w14:textId="77777777" w:rsidR="008E67B4" w:rsidRDefault="008E67B4" w:rsidP="00331BC8">
            <w:pPr>
              <w:pStyle w:val="a5"/>
              <w:ind w:left="0"/>
              <w:jc w:val="both"/>
              <w:rPr>
                <w:rFonts w:ascii="Arial" w:hAnsi="Arial" w:cs="Arial"/>
                <w:sz w:val="20"/>
                <w:szCs w:val="20"/>
              </w:rPr>
            </w:pPr>
          </w:p>
          <w:p w14:paraId="1BBDC03F" w14:textId="77777777" w:rsidR="008E67B4" w:rsidRPr="008E67B4" w:rsidRDefault="008E67B4" w:rsidP="001E2257">
            <w:pPr>
              <w:pStyle w:val="a5"/>
              <w:ind w:left="0"/>
              <w:rPr>
                <w:rFonts w:ascii="Arial" w:hAnsi="Arial" w:cs="Arial"/>
                <w:b/>
                <w:sz w:val="20"/>
                <w:szCs w:val="20"/>
              </w:rPr>
            </w:pPr>
            <w:r w:rsidRPr="008E67B4">
              <w:rPr>
                <w:rFonts w:ascii="Arial" w:hAnsi="Arial" w:cs="Arial"/>
                <w:b/>
                <w:sz w:val="20"/>
                <w:szCs w:val="20"/>
              </w:rPr>
              <w:t>Resale to connected persons</w:t>
            </w:r>
          </w:p>
          <w:p w14:paraId="5984EC74" w14:textId="77777777" w:rsidR="008E67B4" w:rsidRPr="007470A8" w:rsidRDefault="008E67B4" w:rsidP="00331BC8">
            <w:pPr>
              <w:pStyle w:val="a5"/>
              <w:ind w:left="0"/>
              <w:jc w:val="both"/>
              <w:rPr>
                <w:rFonts w:ascii="Arial" w:hAnsi="Arial" w:cs="Arial"/>
                <w:sz w:val="20"/>
                <w:szCs w:val="20"/>
              </w:rPr>
            </w:pPr>
          </w:p>
        </w:tc>
        <w:tc>
          <w:tcPr>
            <w:tcW w:w="6661" w:type="dxa"/>
          </w:tcPr>
          <w:p w14:paraId="5B70077D" w14:textId="77777777" w:rsidR="008E67B4" w:rsidRDefault="008E67B4" w:rsidP="00331BC8">
            <w:pPr>
              <w:jc w:val="both"/>
              <w:rPr>
                <w:rFonts w:ascii="Arial" w:hAnsi="Arial" w:cs="Arial"/>
                <w:sz w:val="20"/>
                <w:szCs w:val="20"/>
                <w:lang w:eastAsia="zh-TW"/>
              </w:rPr>
            </w:pPr>
          </w:p>
          <w:p w14:paraId="73DC2F15" w14:textId="77777777" w:rsidR="008E67B4" w:rsidRDefault="008E67B4" w:rsidP="00331BC8">
            <w:pPr>
              <w:jc w:val="both"/>
              <w:rPr>
                <w:rFonts w:ascii="Arial" w:hAnsi="Arial" w:cs="Arial"/>
                <w:sz w:val="20"/>
                <w:szCs w:val="20"/>
                <w:lang w:eastAsia="zh-TW"/>
              </w:rPr>
            </w:pPr>
            <w:r>
              <w:rPr>
                <w:rFonts w:ascii="Arial" w:hAnsi="Arial" w:cs="Arial"/>
                <w:sz w:val="20"/>
                <w:szCs w:val="20"/>
                <w:lang w:eastAsia="zh-TW"/>
              </w:rPr>
              <w:t xml:space="preserve">The resale of </w:t>
            </w:r>
            <w:r w:rsidRPr="007470A8">
              <w:rPr>
                <w:rFonts w:ascii="Arial" w:hAnsi="Arial" w:cs="Arial"/>
                <w:sz w:val="20"/>
                <w:szCs w:val="20"/>
                <w:lang w:eastAsia="zh-TW"/>
              </w:rPr>
              <w:t>treasury share</w:t>
            </w:r>
            <w:r>
              <w:rPr>
                <w:rFonts w:ascii="Arial" w:hAnsi="Arial" w:cs="Arial"/>
                <w:sz w:val="20"/>
                <w:szCs w:val="20"/>
                <w:lang w:eastAsia="zh-TW"/>
              </w:rPr>
              <w:t>s to connected persons will be subject to the same connected transaction requirements as a new issue of shares under Chapter 14A. Resale will therefore require independent shareholders’ approval unless exempt</w:t>
            </w:r>
            <w:r w:rsidR="006F3A0A">
              <w:rPr>
                <w:rFonts w:ascii="Arial" w:hAnsi="Arial" w:cs="Arial"/>
                <w:sz w:val="20"/>
                <w:szCs w:val="20"/>
                <w:lang w:eastAsia="zh-TW"/>
              </w:rPr>
              <w:t>ed</w:t>
            </w:r>
            <w:r>
              <w:rPr>
                <w:rFonts w:ascii="Arial" w:hAnsi="Arial" w:cs="Arial"/>
                <w:sz w:val="20"/>
                <w:szCs w:val="20"/>
                <w:lang w:eastAsia="zh-TW"/>
              </w:rPr>
              <w:t xml:space="preserve"> under MB Rule 14.92.</w:t>
            </w:r>
          </w:p>
          <w:p w14:paraId="61072F50" w14:textId="77777777" w:rsidR="008E67B4" w:rsidRPr="007470A8" w:rsidRDefault="008E67B4" w:rsidP="00331BC8">
            <w:pPr>
              <w:jc w:val="both"/>
              <w:rPr>
                <w:rFonts w:ascii="Arial" w:hAnsi="Arial" w:cs="Arial"/>
                <w:sz w:val="20"/>
                <w:szCs w:val="20"/>
                <w:lang w:eastAsia="zh-TW"/>
              </w:rPr>
            </w:pPr>
          </w:p>
        </w:tc>
      </w:tr>
      <w:tr w:rsidR="008E67B4" w:rsidRPr="007470A8" w14:paraId="0C24A2BE" w14:textId="77777777" w:rsidTr="004D1795">
        <w:tc>
          <w:tcPr>
            <w:tcW w:w="2263" w:type="dxa"/>
          </w:tcPr>
          <w:p w14:paraId="3471E500" w14:textId="77777777" w:rsidR="008E67B4" w:rsidRDefault="008E67B4" w:rsidP="00331BC8">
            <w:pPr>
              <w:pStyle w:val="a5"/>
              <w:ind w:left="0"/>
              <w:jc w:val="both"/>
              <w:rPr>
                <w:rFonts w:ascii="Arial" w:hAnsi="Arial" w:cs="Arial"/>
                <w:sz w:val="20"/>
                <w:szCs w:val="20"/>
              </w:rPr>
            </w:pPr>
          </w:p>
          <w:p w14:paraId="106AF629" w14:textId="77777777" w:rsidR="008E67B4" w:rsidRDefault="008E67B4" w:rsidP="00331BC8">
            <w:pPr>
              <w:pStyle w:val="a5"/>
              <w:ind w:left="0"/>
              <w:jc w:val="both"/>
              <w:rPr>
                <w:rFonts w:ascii="Arial" w:hAnsi="Arial" w:cs="Arial"/>
                <w:sz w:val="20"/>
                <w:szCs w:val="20"/>
              </w:rPr>
            </w:pPr>
            <w:r w:rsidRPr="008E67B4">
              <w:rPr>
                <w:rFonts w:ascii="Arial" w:hAnsi="Arial" w:cs="Arial"/>
                <w:b/>
                <w:sz w:val="20"/>
                <w:szCs w:val="20"/>
              </w:rPr>
              <w:t>Disclosure</w:t>
            </w:r>
            <w:r>
              <w:rPr>
                <w:rFonts w:ascii="Arial" w:hAnsi="Arial" w:cs="Arial"/>
                <w:b/>
                <w:sz w:val="20"/>
                <w:szCs w:val="20"/>
              </w:rPr>
              <w:t xml:space="preserve"> </w:t>
            </w:r>
          </w:p>
          <w:p w14:paraId="72724F78" w14:textId="77777777" w:rsidR="00B20845" w:rsidRPr="008E67B4" w:rsidRDefault="00B20845" w:rsidP="00B20845">
            <w:pPr>
              <w:pStyle w:val="a5"/>
              <w:ind w:left="0"/>
              <w:rPr>
                <w:rFonts w:ascii="Arial" w:hAnsi="Arial" w:cs="Arial"/>
                <w:sz w:val="20"/>
                <w:szCs w:val="20"/>
              </w:rPr>
            </w:pPr>
          </w:p>
        </w:tc>
        <w:tc>
          <w:tcPr>
            <w:tcW w:w="6661" w:type="dxa"/>
          </w:tcPr>
          <w:p w14:paraId="265FA0DC" w14:textId="77777777" w:rsidR="008E67B4" w:rsidRDefault="008E67B4" w:rsidP="00331BC8">
            <w:pPr>
              <w:jc w:val="both"/>
              <w:rPr>
                <w:rFonts w:ascii="Arial" w:hAnsi="Arial" w:cs="Arial"/>
                <w:sz w:val="20"/>
                <w:szCs w:val="20"/>
                <w:lang w:eastAsia="zh-TW"/>
              </w:rPr>
            </w:pPr>
          </w:p>
          <w:p w14:paraId="3DAAF1E9" w14:textId="77777777" w:rsidR="00457216" w:rsidRDefault="00457216" w:rsidP="00457216">
            <w:pPr>
              <w:pStyle w:val="a5"/>
              <w:ind w:left="0"/>
              <w:jc w:val="both"/>
              <w:rPr>
                <w:rFonts w:ascii="Arial" w:hAnsi="Arial" w:cs="Arial"/>
                <w:sz w:val="20"/>
                <w:szCs w:val="20"/>
                <w:lang w:eastAsia="zh-TW"/>
              </w:rPr>
            </w:pPr>
            <w:r w:rsidRPr="00457216">
              <w:rPr>
                <w:rFonts w:ascii="Arial" w:hAnsi="Arial" w:cs="Arial"/>
                <w:b/>
                <w:sz w:val="20"/>
                <w:szCs w:val="20"/>
                <w:lang w:eastAsia="zh-TW"/>
              </w:rPr>
              <w:t>Announcement</w:t>
            </w:r>
            <w:r>
              <w:rPr>
                <w:rFonts w:ascii="Arial" w:hAnsi="Arial" w:cs="Arial"/>
                <w:sz w:val="20"/>
                <w:szCs w:val="20"/>
                <w:lang w:eastAsia="zh-TW"/>
              </w:rPr>
              <w:t xml:space="preserve">: </w:t>
            </w:r>
            <w:r w:rsidR="008E67B4">
              <w:rPr>
                <w:rFonts w:ascii="Arial" w:hAnsi="Arial" w:cs="Arial"/>
                <w:sz w:val="20"/>
                <w:szCs w:val="20"/>
                <w:lang w:eastAsia="zh-TW"/>
              </w:rPr>
              <w:t>Listed companies will be required to announce a resale of treasury shares and any movement in the number of their treasury shares</w:t>
            </w:r>
            <w:r w:rsidR="00B20845">
              <w:rPr>
                <w:rFonts w:ascii="Arial" w:hAnsi="Arial" w:cs="Arial"/>
                <w:sz w:val="20"/>
                <w:szCs w:val="20"/>
                <w:lang w:eastAsia="zh-TW"/>
              </w:rPr>
              <w:t xml:space="preserve"> under </w:t>
            </w:r>
            <w:r w:rsidR="00B20845">
              <w:rPr>
                <w:rFonts w:ascii="Arial" w:hAnsi="Arial" w:cs="Arial"/>
                <w:sz w:val="20"/>
                <w:szCs w:val="20"/>
              </w:rPr>
              <w:t>MB Rule 13.28</w:t>
            </w:r>
            <w:r w:rsidR="00B20845">
              <w:rPr>
                <w:rFonts w:ascii="Arial" w:hAnsi="Arial" w:cs="Arial"/>
                <w:sz w:val="20"/>
                <w:szCs w:val="20"/>
                <w:lang w:eastAsia="zh-TW"/>
              </w:rPr>
              <w:t xml:space="preserve">, and will need to disclose the same in a next day disclosure return (MB Rule </w:t>
            </w:r>
            <w:r w:rsidR="00B20845" w:rsidRPr="007470A8">
              <w:rPr>
                <w:rFonts w:ascii="Arial" w:hAnsi="Arial" w:cs="Arial"/>
                <w:sz w:val="20"/>
                <w:szCs w:val="20"/>
                <w:lang w:eastAsia="zh-TW"/>
              </w:rPr>
              <w:t>13.25A</w:t>
            </w:r>
            <w:r w:rsidR="00B20845">
              <w:rPr>
                <w:rFonts w:ascii="Arial" w:hAnsi="Arial" w:cs="Arial"/>
                <w:sz w:val="20"/>
                <w:szCs w:val="20"/>
                <w:lang w:eastAsia="zh-TW"/>
              </w:rPr>
              <w:t>) and their next monthly return (MB</w:t>
            </w:r>
            <w:r w:rsidR="00B20845" w:rsidRPr="007470A8">
              <w:rPr>
                <w:rFonts w:ascii="Arial" w:hAnsi="Arial" w:cs="Arial"/>
                <w:sz w:val="20"/>
                <w:szCs w:val="20"/>
                <w:lang w:eastAsia="zh-TW"/>
              </w:rPr>
              <w:t xml:space="preserve"> Rule 13.25B</w:t>
            </w:r>
            <w:r w:rsidR="00B20845">
              <w:rPr>
                <w:rFonts w:ascii="Arial" w:hAnsi="Arial" w:cs="Arial"/>
                <w:sz w:val="20"/>
                <w:szCs w:val="20"/>
                <w:lang w:eastAsia="zh-TW"/>
              </w:rPr>
              <w:t>).</w:t>
            </w:r>
            <w:r>
              <w:rPr>
                <w:rFonts w:ascii="Arial" w:hAnsi="Arial" w:cs="Arial"/>
                <w:sz w:val="20"/>
                <w:szCs w:val="20"/>
                <w:lang w:eastAsia="zh-TW"/>
              </w:rPr>
              <w:t xml:space="preserve"> </w:t>
            </w:r>
            <w:r w:rsidR="00B20845">
              <w:rPr>
                <w:rFonts w:ascii="Arial" w:hAnsi="Arial" w:cs="Arial"/>
                <w:sz w:val="20"/>
                <w:szCs w:val="20"/>
                <w:lang w:eastAsia="zh-TW"/>
              </w:rPr>
              <w:t xml:space="preserve"> </w:t>
            </w:r>
          </w:p>
          <w:p w14:paraId="620F5740" w14:textId="77777777" w:rsidR="00457216" w:rsidRDefault="00457216" w:rsidP="00457216">
            <w:pPr>
              <w:pStyle w:val="a5"/>
              <w:ind w:left="0"/>
              <w:jc w:val="both"/>
              <w:rPr>
                <w:rFonts w:ascii="Arial" w:hAnsi="Arial" w:cs="Arial"/>
                <w:sz w:val="20"/>
                <w:szCs w:val="20"/>
                <w:lang w:eastAsia="zh-TW"/>
              </w:rPr>
            </w:pPr>
          </w:p>
          <w:p w14:paraId="019329C4" w14:textId="77777777" w:rsidR="00457216" w:rsidRDefault="00457216" w:rsidP="00457216">
            <w:pPr>
              <w:pStyle w:val="a5"/>
              <w:ind w:left="0"/>
              <w:jc w:val="both"/>
              <w:rPr>
                <w:rFonts w:ascii="Arial" w:hAnsi="Arial" w:cs="Arial"/>
                <w:sz w:val="20"/>
                <w:szCs w:val="20"/>
                <w:lang w:eastAsia="zh-TW"/>
              </w:rPr>
            </w:pPr>
            <w:r w:rsidRPr="00457216">
              <w:rPr>
                <w:rFonts w:ascii="Arial" w:hAnsi="Arial" w:cs="Arial"/>
                <w:b/>
                <w:sz w:val="20"/>
                <w:szCs w:val="20"/>
              </w:rPr>
              <w:t>Next day disclosure</w:t>
            </w:r>
            <w:r>
              <w:rPr>
                <w:rFonts w:ascii="Arial" w:hAnsi="Arial" w:cs="Arial"/>
                <w:sz w:val="20"/>
                <w:szCs w:val="20"/>
              </w:rPr>
              <w:t>: I</w:t>
            </w:r>
            <w:r w:rsidRPr="007470A8">
              <w:rPr>
                <w:rFonts w:ascii="Arial" w:hAnsi="Arial" w:cs="Arial"/>
                <w:sz w:val="20"/>
                <w:szCs w:val="20"/>
              </w:rPr>
              <w:t xml:space="preserve">n the next day </w:t>
            </w:r>
            <w:r>
              <w:rPr>
                <w:rFonts w:ascii="Arial" w:hAnsi="Arial" w:cs="Arial"/>
                <w:sz w:val="20"/>
                <w:szCs w:val="20"/>
              </w:rPr>
              <w:t>dis</w:t>
            </w:r>
            <w:r w:rsidRPr="007470A8">
              <w:rPr>
                <w:rFonts w:ascii="Arial" w:hAnsi="Arial" w:cs="Arial"/>
                <w:sz w:val="20"/>
                <w:szCs w:val="20"/>
              </w:rPr>
              <w:t xml:space="preserve">closure return, listed companies must disclose the highest and lowest prices, total funds raised and the mandate used </w:t>
            </w:r>
            <w:r>
              <w:rPr>
                <w:rFonts w:ascii="Arial" w:hAnsi="Arial" w:cs="Arial"/>
                <w:sz w:val="20"/>
                <w:szCs w:val="20"/>
              </w:rPr>
              <w:t xml:space="preserve">for </w:t>
            </w:r>
            <w:r w:rsidRPr="007470A8">
              <w:rPr>
                <w:rFonts w:ascii="Arial" w:hAnsi="Arial" w:cs="Arial"/>
                <w:sz w:val="20"/>
                <w:szCs w:val="20"/>
              </w:rPr>
              <w:t>an on-market sale of treasury shares</w:t>
            </w:r>
            <w:r>
              <w:rPr>
                <w:rFonts w:ascii="Arial" w:hAnsi="Arial" w:cs="Arial"/>
                <w:sz w:val="20"/>
                <w:szCs w:val="20"/>
              </w:rPr>
              <w:t>.</w:t>
            </w:r>
            <w:r>
              <w:rPr>
                <w:rFonts w:ascii="Arial" w:hAnsi="Arial" w:cs="Arial"/>
                <w:sz w:val="20"/>
                <w:szCs w:val="20"/>
                <w:lang w:eastAsia="zh-TW"/>
              </w:rPr>
              <w:t xml:space="preserve"> </w:t>
            </w:r>
          </w:p>
          <w:p w14:paraId="05B5ECD1" w14:textId="77777777" w:rsidR="00457216" w:rsidRDefault="00457216" w:rsidP="00457216">
            <w:pPr>
              <w:pStyle w:val="a5"/>
              <w:ind w:left="0"/>
              <w:jc w:val="both"/>
              <w:rPr>
                <w:rFonts w:ascii="Arial" w:hAnsi="Arial" w:cs="Arial"/>
                <w:sz w:val="20"/>
                <w:szCs w:val="20"/>
                <w:lang w:eastAsia="zh-TW"/>
              </w:rPr>
            </w:pPr>
          </w:p>
          <w:p w14:paraId="2F4AD2A3" w14:textId="77777777" w:rsidR="00457216" w:rsidRPr="00457216" w:rsidRDefault="00457216" w:rsidP="00457216">
            <w:pPr>
              <w:jc w:val="both"/>
              <w:rPr>
                <w:rFonts w:ascii="Arial" w:hAnsi="Arial" w:cs="Arial"/>
                <w:sz w:val="20"/>
                <w:szCs w:val="20"/>
              </w:rPr>
            </w:pPr>
            <w:r w:rsidRPr="00457216">
              <w:rPr>
                <w:rFonts w:ascii="Arial" w:hAnsi="Arial" w:cs="Arial"/>
                <w:b/>
                <w:sz w:val="20"/>
                <w:szCs w:val="20"/>
                <w:lang w:eastAsia="zh-TW"/>
              </w:rPr>
              <w:t>Annual return disclosure</w:t>
            </w:r>
            <w:r>
              <w:rPr>
                <w:rFonts w:ascii="Arial" w:hAnsi="Arial" w:cs="Arial"/>
                <w:sz w:val="20"/>
                <w:szCs w:val="20"/>
                <w:lang w:eastAsia="zh-TW"/>
              </w:rPr>
              <w:t xml:space="preserve">: </w:t>
            </w:r>
            <w:r w:rsidR="00B20845" w:rsidRPr="00457216">
              <w:rPr>
                <w:rFonts w:ascii="Arial" w:hAnsi="Arial" w:cs="Arial"/>
                <w:sz w:val="20"/>
                <w:szCs w:val="20"/>
                <w:lang w:eastAsia="zh-TW"/>
              </w:rPr>
              <w:t>Under paragraphs 11 and 11A to Appendix D2</w:t>
            </w:r>
            <w:r w:rsidR="004B1B87" w:rsidRPr="007470A8">
              <w:rPr>
                <w:rStyle w:val="a8"/>
                <w:rFonts w:ascii="Arial" w:hAnsi="Arial" w:cs="Arial"/>
                <w:sz w:val="20"/>
                <w:szCs w:val="20"/>
              </w:rPr>
              <w:footnoteReference w:id="12"/>
            </w:r>
            <w:r w:rsidR="00B20845" w:rsidRPr="00457216">
              <w:rPr>
                <w:rFonts w:ascii="Arial" w:hAnsi="Arial" w:cs="Arial"/>
                <w:sz w:val="20"/>
                <w:szCs w:val="20"/>
                <w:lang w:eastAsia="zh-TW"/>
              </w:rPr>
              <w:t>, listed companies must disclose details of their sales of treasury shares for cash</w:t>
            </w:r>
            <w:r w:rsidRPr="00457216">
              <w:rPr>
                <w:rFonts w:ascii="Arial" w:hAnsi="Arial" w:cs="Arial"/>
                <w:sz w:val="20"/>
                <w:szCs w:val="20"/>
                <w:lang w:eastAsia="zh-TW"/>
              </w:rPr>
              <w:t xml:space="preserve"> in their annual reports</w:t>
            </w:r>
            <w:r w:rsidR="00B20845" w:rsidRPr="00457216">
              <w:rPr>
                <w:rFonts w:ascii="Arial" w:hAnsi="Arial" w:cs="Arial"/>
                <w:sz w:val="20"/>
                <w:szCs w:val="20"/>
                <w:lang w:eastAsia="zh-TW"/>
              </w:rPr>
              <w:t>.</w:t>
            </w:r>
            <w:r w:rsidRPr="00457216">
              <w:rPr>
                <w:rFonts w:ascii="Arial" w:hAnsi="Arial" w:cs="Arial"/>
                <w:sz w:val="20"/>
                <w:szCs w:val="20"/>
                <w:lang w:eastAsia="zh-TW"/>
              </w:rPr>
              <w:t xml:space="preserve"> </w:t>
            </w:r>
            <w:r w:rsidRPr="00457216">
              <w:rPr>
                <w:rFonts w:ascii="Arial" w:hAnsi="Arial" w:cs="Arial"/>
                <w:sz w:val="20"/>
                <w:szCs w:val="20"/>
              </w:rPr>
              <w:t xml:space="preserve">Annual reports must also include a monthly breakdown of all on-market sales, the amount of funds raised, use of proceeds, the current balance of treasury shares held and their intended use. </w:t>
            </w:r>
          </w:p>
          <w:p w14:paraId="647F8BD7" w14:textId="77777777" w:rsidR="008E67B4" w:rsidRDefault="008E67B4" w:rsidP="008E67B4">
            <w:pPr>
              <w:jc w:val="both"/>
              <w:rPr>
                <w:rFonts w:ascii="Arial" w:hAnsi="Arial" w:cs="Arial"/>
                <w:sz w:val="20"/>
                <w:szCs w:val="20"/>
                <w:lang w:eastAsia="zh-TW"/>
              </w:rPr>
            </w:pPr>
          </w:p>
        </w:tc>
      </w:tr>
      <w:tr w:rsidR="00457216" w:rsidRPr="007470A8" w14:paraId="0E23864C" w14:textId="77777777" w:rsidTr="004D1795">
        <w:tc>
          <w:tcPr>
            <w:tcW w:w="2263" w:type="dxa"/>
          </w:tcPr>
          <w:p w14:paraId="748416E8" w14:textId="77777777" w:rsidR="00457216" w:rsidRDefault="00457216" w:rsidP="00457216">
            <w:pPr>
              <w:pStyle w:val="a5"/>
              <w:ind w:left="0"/>
              <w:jc w:val="both"/>
              <w:rPr>
                <w:rFonts w:ascii="Arial" w:hAnsi="Arial" w:cs="Arial"/>
                <w:sz w:val="20"/>
                <w:szCs w:val="20"/>
              </w:rPr>
            </w:pPr>
          </w:p>
          <w:p w14:paraId="0A6FB1DA" w14:textId="77777777" w:rsidR="00D54468" w:rsidRDefault="00D54468" w:rsidP="008C1E6F">
            <w:pPr>
              <w:pStyle w:val="a5"/>
              <w:ind w:left="0"/>
              <w:jc w:val="both"/>
              <w:rPr>
                <w:rFonts w:ascii="Arial" w:hAnsi="Arial" w:cs="Arial"/>
                <w:sz w:val="20"/>
                <w:szCs w:val="20"/>
              </w:rPr>
            </w:pPr>
            <w:r w:rsidRPr="00D54468">
              <w:rPr>
                <w:rFonts w:ascii="Arial" w:hAnsi="Arial" w:cs="Arial"/>
                <w:b/>
                <w:sz w:val="20"/>
                <w:szCs w:val="20"/>
              </w:rPr>
              <w:t xml:space="preserve">Chapter 17 </w:t>
            </w:r>
            <w:r w:rsidRPr="00D54468">
              <w:rPr>
                <w:rFonts w:ascii="Arial" w:hAnsi="Arial" w:cs="Arial"/>
                <w:b/>
                <w:sz w:val="20"/>
                <w:szCs w:val="20"/>
              </w:rPr>
              <w:br/>
              <w:t>Share Schemes</w:t>
            </w:r>
          </w:p>
        </w:tc>
        <w:tc>
          <w:tcPr>
            <w:tcW w:w="6661" w:type="dxa"/>
          </w:tcPr>
          <w:p w14:paraId="7A06BD80" w14:textId="77777777" w:rsidR="00D54468" w:rsidRDefault="00D54468" w:rsidP="00457216">
            <w:pPr>
              <w:pStyle w:val="a5"/>
              <w:ind w:left="0"/>
              <w:jc w:val="both"/>
              <w:rPr>
                <w:rFonts w:ascii="Arial" w:hAnsi="Arial" w:cs="Arial"/>
                <w:sz w:val="20"/>
                <w:szCs w:val="20"/>
                <w:lang w:eastAsia="zh-TW"/>
              </w:rPr>
            </w:pPr>
          </w:p>
          <w:p w14:paraId="6FA0D860" w14:textId="1362AB1A" w:rsidR="00457216" w:rsidRDefault="00D54468" w:rsidP="00457216">
            <w:pPr>
              <w:pStyle w:val="a5"/>
              <w:ind w:left="0"/>
              <w:jc w:val="both"/>
              <w:rPr>
                <w:rFonts w:ascii="Arial" w:hAnsi="Arial" w:cs="Arial"/>
                <w:sz w:val="20"/>
                <w:szCs w:val="20"/>
              </w:rPr>
            </w:pPr>
            <w:r>
              <w:rPr>
                <w:rFonts w:ascii="Arial" w:hAnsi="Arial" w:cs="Arial"/>
                <w:sz w:val="20"/>
                <w:szCs w:val="20"/>
                <w:lang w:eastAsia="zh-TW"/>
              </w:rPr>
              <w:t>T</w:t>
            </w:r>
            <w:r w:rsidR="00457216" w:rsidRPr="007470A8">
              <w:rPr>
                <w:rFonts w:ascii="Arial" w:hAnsi="Arial" w:cs="Arial"/>
                <w:sz w:val="20"/>
                <w:szCs w:val="20"/>
                <w:lang w:eastAsia="zh-TW"/>
              </w:rPr>
              <w:t xml:space="preserve">he annual or interim report disclosure requirements under </w:t>
            </w:r>
            <w:r w:rsidR="00457216" w:rsidRPr="007470A8">
              <w:rPr>
                <w:rFonts w:ascii="Arial" w:hAnsi="Arial" w:cs="Arial"/>
                <w:sz w:val="20"/>
                <w:szCs w:val="20"/>
              </w:rPr>
              <w:t>Paragraphs 11, 11A and 41A of Appendix D2</w:t>
            </w:r>
            <w:r w:rsidR="004B1B87">
              <w:rPr>
                <w:rStyle w:val="a8"/>
                <w:rFonts w:ascii="Arial" w:hAnsi="Arial" w:cs="Arial"/>
                <w:sz w:val="20"/>
                <w:szCs w:val="20"/>
              </w:rPr>
              <w:footnoteReference w:id="13"/>
            </w:r>
            <w:r w:rsidR="001E2257">
              <w:rPr>
                <w:rFonts w:ascii="Arial" w:hAnsi="Arial" w:cs="Arial"/>
                <w:sz w:val="20"/>
                <w:szCs w:val="20"/>
              </w:rPr>
              <w:t xml:space="preserve"> </w:t>
            </w:r>
            <w:r>
              <w:rPr>
                <w:rFonts w:ascii="Arial" w:hAnsi="Arial" w:cs="Arial"/>
                <w:sz w:val="20"/>
                <w:szCs w:val="20"/>
              </w:rPr>
              <w:t>to</w:t>
            </w:r>
            <w:r w:rsidR="00457216" w:rsidRPr="007470A8">
              <w:rPr>
                <w:rFonts w:ascii="Arial" w:hAnsi="Arial" w:cs="Arial"/>
                <w:sz w:val="20"/>
                <w:szCs w:val="20"/>
              </w:rPr>
              <w:t xml:space="preserve"> the </w:t>
            </w:r>
            <w:r w:rsidR="00457216">
              <w:rPr>
                <w:rFonts w:ascii="Arial" w:hAnsi="Arial" w:cs="Arial"/>
                <w:sz w:val="20"/>
                <w:szCs w:val="20"/>
              </w:rPr>
              <w:t xml:space="preserve">MB </w:t>
            </w:r>
            <w:proofErr w:type="spellStart"/>
            <w:r w:rsidR="00457216">
              <w:rPr>
                <w:rFonts w:ascii="Arial" w:hAnsi="Arial" w:cs="Arial"/>
                <w:sz w:val="20"/>
                <w:szCs w:val="20"/>
              </w:rPr>
              <w:t>Rules</w:t>
            </w:r>
            <w:r w:rsidR="00457216" w:rsidRPr="007470A8">
              <w:rPr>
                <w:rFonts w:ascii="Arial" w:hAnsi="Arial" w:cs="Arial"/>
                <w:sz w:val="20"/>
                <w:szCs w:val="20"/>
              </w:rPr>
              <w:t>do</w:t>
            </w:r>
            <w:proofErr w:type="spellEnd"/>
            <w:r w:rsidR="00457216" w:rsidRPr="007470A8">
              <w:rPr>
                <w:rFonts w:ascii="Arial" w:hAnsi="Arial" w:cs="Arial"/>
                <w:sz w:val="20"/>
                <w:szCs w:val="20"/>
              </w:rPr>
              <w:t xml:space="preserve"> not apply to the issue of equity securities or resale of treasury shares if the share scheme complies with Chapter 17. </w:t>
            </w:r>
          </w:p>
          <w:p w14:paraId="0899C4E7" w14:textId="77777777" w:rsidR="00D54468" w:rsidRPr="007470A8" w:rsidRDefault="00D54468" w:rsidP="00457216">
            <w:pPr>
              <w:pStyle w:val="a5"/>
              <w:ind w:left="0"/>
              <w:jc w:val="both"/>
              <w:rPr>
                <w:rFonts w:ascii="Arial" w:hAnsi="Arial" w:cs="Arial"/>
                <w:sz w:val="20"/>
                <w:szCs w:val="20"/>
                <w:lang w:eastAsia="zh-TW"/>
              </w:rPr>
            </w:pPr>
          </w:p>
        </w:tc>
      </w:tr>
      <w:tr w:rsidR="00457216" w:rsidRPr="007470A8" w14:paraId="781F20F6" w14:textId="77777777" w:rsidTr="004D1795">
        <w:tc>
          <w:tcPr>
            <w:tcW w:w="2263" w:type="dxa"/>
          </w:tcPr>
          <w:p w14:paraId="03E3C3D1" w14:textId="77777777" w:rsidR="00457216" w:rsidRDefault="00457216" w:rsidP="00457216">
            <w:pPr>
              <w:pStyle w:val="a5"/>
              <w:ind w:left="0"/>
              <w:jc w:val="both"/>
              <w:rPr>
                <w:rFonts w:ascii="Arial" w:hAnsi="Arial" w:cs="Arial"/>
                <w:sz w:val="20"/>
                <w:szCs w:val="20"/>
              </w:rPr>
            </w:pPr>
          </w:p>
          <w:p w14:paraId="53DBD0DD" w14:textId="77777777" w:rsidR="00457216" w:rsidRDefault="00457216" w:rsidP="00457216">
            <w:pPr>
              <w:pStyle w:val="a5"/>
              <w:ind w:left="0"/>
              <w:jc w:val="both"/>
              <w:rPr>
                <w:rFonts w:ascii="Arial" w:hAnsi="Arial" w:cs="Arial"/>
                <w:sz w:val="20"/>
                <w:szCs w:val="20"/>
              </w:rPr>
            </w:pPr>
            <w:r w:rsidRPr="00457216">
              <w:rPr>
                <w:rFonts w:ascii="Arial" w:hAnsi="Arial" w:cs="Arial"/>
                <w:b/>
                <w:sz w:val="20"/>
                <w:szCs w:val="20"/>
              </w:rPr>
              <w:t>Listing document requirement</w:t>
            </w:r>
          </w:p>
        </w:tc>
        <w:tc>
          <w:tcPr>
            <w:tcW w:w="6661" w:type="dxa"/>
          </w:tcPr>
          <w:p w14:paraId="32E88102" w14:textId="77777777" w:rsidR="00457216" w:rsidRDefault="00457216" w:rsidP="00457216">
            <w:pPr>
              <w:jc w:val="both"/>
              <w:rPr>
                <w:rFonts w:ascii="Arial" w:hAnsi="Arial" w:cs="Arial"/>
                <w:sz w:val="20"/>
                <w:szCs w:val="20"/>
                <w:lang w:eastAsia="zh-TW"/>
              </w:rPr>
            </w:pPr>
          </w:p>
          <w:p w14:paraId="1CA9F196" w14:textId="77777777" w:rsidR="00457216" w:rsidRDefault="00457216" w:rsidP="00457216">
            <w:pPr>
              <w:jc w:val="both"/>
              <w:rPr>
                <w:rFonts w:ascii="Arial" w:hAnsi="Arial" w:cs="Arial"/>
                <w:sz w:val="20"/>
                <w:szCs w:val="20"/>
                <w:lang w:eastAsia="zh-TW"/>
              </w:rPr>
            </w:pPr>
            <w:r>
              <w:rPr>
                <w:rFonts w:ascii="Arial" w:hAnsi="Arial" w:cs="Arial"/>
                <w:sz w:val="20"/>
                <w:szCs w:val="20"/>
                <w:lang w:eastAsia="zh-TW"/>
              </w:rPr>
              <w:t xml:space="preserve">Although listed issuers do not need to submit a listing application for the resale of treasury shares, they are subject to the documentary requirements of MB Rules 9.18 to 9.23 as if </w:t>
            </w:r>
            <w:r w:rsidR="008C1E6F">
              <w:rPr>
                <w:rFonts w:ascii="Arial" w:hAnsi="Arial" w:cs="Arial"/>
                <w:sz w:val="20"/>
                <w:szCs w:val="20"/>
                <w:lang w:eastAsia="zh-TW"/>
              </w:rPr>
              <w:t xml:space="preserve">they </w:t>
            </w:r>
            <w:r>
              <w:rPr>
                <w:rFonts w:ascii="Arial" w:hAnsi="Arial" w:cs="Arial"/>
                <w:sz w:val="20"/>
                <w:szCs w:val="20"/>
                <w:lang w:eastAsia="zh-TW"/>
              </w:rPr>
              <w:t xml:space="preserve">were an application for </w:t>
            </w:r>
            <w:r>
              <w:rPr>
                <w:rFonts w:ascii="Arial" w:hAnsi="Arial" w:cs="Arial"/>
                <w:sz w:val="20"/>
                <w:szCs w:val="20"/>
                <w:lang w:eastAsia="zh-TW"/>
              </w:rPr>
              <w:lastRenderedPageBreak/>
              <w:t>the listing of the newly listed shares and will need to produce a listing document under MB Rule 11.04.</w:t>
            </w:r>
          </w:p>
          <w:p w14:paraId="3EA5C263" w14:textId="77777777" w:rsidR="00457216" w:rsidRDefault="00457216" w:rsidP="00457216">
            <w:pPr>
              <w:jc w:val="both"/>
              <w:rPr>
                <w:rFonts w:ascii="Arial" w:hAnsi="Arial" w:cs="Arial"/>
                <w:sz w:val="20"/>
                <w:szCs w:val="20"/>
                <w:lang w:eastAsia="zh-TW"/>
              </w:rPr>
            </w:pPr>
          </w:p>
        </w:tc>
      </w:tr>
    </w:tbl>
    <w:p w14:paraId="5D4064C4" w14:textId="77777777" w:rsidR="0018253B" w:rsidRPr="007470A8" w:rsidRDefault="0018253B" w:rsidP="004D1795">
      <w:pPr>
        <w:spacing w:after="0"/>
        <w:rPr>
          <w:rFonts w:ascii="Arial" w:hAnsi="Arial" w:cs="Arial"/>
          <w:i/>
          <w:sz w:val="20"/>
          <w:szCs w:val="20"/>
          <w:lang w:eastAsia="zh-TW"/>
        </w:rPr>
      </w:pPr>
    </w:p>
    <w:p w14:paraId="0A66A685" w14:textId="77777777" w:rsidR="00CA5F05" w:rsidRPr="007470A8" w:rsidRDefault="00CA5F05" w:rsidP="004D1795">
      <w:pPr>
        <w:pStyle w:val="a5"/>
        <w:spacing w:after="0"/>
        <w:ind w:left="426"/>
        <w:jc w:val="both"/>
        <w:rPr>
          <w:rFonts w:ascii="Arial" w:hAnsi="Arial" w:cs="Arial"/>
          <w:sz w:val="20"/>
          <w:szCs w:val="20"/>
        </w:rPr>
      </w:pPr>
    </w:p>
    <w:p w14:paraId="1F0F04B3" w14:textId="77777777" w:rsidR="00870719" w:rsidRDefault="00DA5701" w:rsidP="004D1795">
      <w:pPr>
        <w:spacing w:after="0"/>
        <w:ind w:left="426"/>
        <w:jc w:val="both"/>
        <w:rPr>
          <w:rFonts w:ascii="Arial" w:hAnsi="Arial" w:cs="Arial"/>
          <w:sz w:val="20"/>
          <w:szCs w:val="20"/>
        </w:rPr>
      </w:pPr>
      <w:r w:rsidRPr="007470A8">
        <w:rPr>
          <w:rFonts w:ascii="Arial" w:hAnsi="Arial" w:cs="Arial"/>
          <w:sz w:val="20"/>
          <w:szCs w:val="20"/>
        </w:rPr>
        <w:t>T</w:t>
      </w:r>
      <w:r w:rsidR="00C33B4D" w:rsidRPr="007470A8">
        <w:rPr>
          <w:rFonts w:ascii="Arial" w:hAnsi="Arial" w:cs="Arial"/>
          <w:sz w:val="20"/>
          <w:szCs w:val="20"/>
        </w:rPr>
        <w:t xml:space="preserve">he HKEX </w:t>
      </w:r>
      <w:r w:rsidRPr="007470A8">
        <w:rPr>
          <w:rFonts w:ascii="Arial" w:hAnsi="Arial" w:cs="Arial"/>
          <w:sz w:val="20"/>
          <w:szCs w:val="20"/>
        </w:rPr>
        <w:t xml:space="preserve">also </w:t>
      </w:r>
      <w:r w:rsidR="00D54468">
        <w:rPr>
          <w:rFonts w:ascii="Arial" w:hAnsi="Arial" w:cs="Arial"/>
          <w:sz w:val="20"/>
          <w:szCs w:val="20"/>
        </w:rPr>
        <w:t xml:space="preserve">clarified in the Consultation Conclusions in relation to </w:t>
      </w:r>
      <w:r w:rsidR="007458D1">
        <w:rPr>
          <w:rFonts w:ascii="Arial" w:hAnsi="Arial" w:cs="Arial"/>
          <w:sz w:val="20"/>
          <w:szCs w:val="20"/>
        </w:rPr>
        <w:t xml:space="preserve">MB </w:t>
      </w:r>
      <w:r w:rsidR="00C33B4D" w:rsidRPr="007470A8">
        <w:rPr>
          <w:rFonts w:ascii="Arial" w:hAnsi="Arial" w:cs="Arial"/>
          <w:sz w:val="20"/>
          <w:szCs w:val="20"/>
        </w:rPr>
        <w:t>Rule 13.36</w:t>
      </w:r>
      <w:r w:rsidR="00D54468">
        <w:rPr>
          <w:rFonts w:ascii="Arial" w:hAnsi="Arial" w:cs="Arial"/>
          <w:sz w:val="20"/>
          <w:szCs w:val="20"/>
        </w:rPr>
        <w:t xml:space="preserve"> that</w:t>
      </w:r>
      <w:r w:rsidR="00C4029D" w:rsidRPr="007470A8">
        <w:rPr>
          <w:rFonts w:ascii="Arial" w:hAnsi="Arial" w:cs="Arial"/>
          <w:sz w:val="20"/>
          <w:szCs w:val="20"/>
        </w:rPr>
        <w:t>:</w:t>
      </w:r>
    </w:p>
    <w:p w14:paraId="1E340C57" w14:textId="77777777" w:rsidR="00D54468" w:rsidRPr="007470A8" w:rsidRDefault="00D54468" w:rsidP="004D1795">
      <w:pPr>
        <w:spacing w:after="0"/>
        <w:ind w:left="426"/>
        <w:jc w:val="both"/>
        <w:rPr>
          <w:rFonts w:ascii="Arial" w:hAnsi="Arial" w:cs="Arial"/>
          <w:sz w:val="20"/>
          <w:szCs w:val="20"/>
        </w:rPr>
      </w:pPr>
    </w:p>
    <w:p w14:paraId="4DCA19C1" w14:textId="77777777" w:rsidR="00C33B4D" w:rsidRDefault="00D54468" w:rsidP="004662DF">
      <w:pPr>
        <w:pStyle w:val="a5"/>
        <w:numPr>
          <w:ilvl w:val="0"/>
          <w:numId w:val="7"/>
        </w:numPr>
        <w:spacing w:after="0"/>
        <w:ind w:left="993" w:hanging="426"/>
        <w:jc w:val="both"/>
        <w:rPr>
          <w:rFonts w:ascii="Arial" w:hAnsi="Arial" w:cs="Arial"/>
          <w:sz w:val="20"/>
          <w:szCs w:val="20"/>
        </w:rPr>
      </w:pPr>
      <w:r w:rsidRPr="007470A8">
        <w:rPr>
          <w:rFonts w:ascii="Arial" w:hAnsi="Arial" w:cs="Arial"/>
          <w:sz w:val="20"/>
          <w:szCs w:val="20"/>
        </w:rPr>
        <w:t xml:space="preserve">the </w:t>
      </w:r>
      <w:r w:rsidRPr="007470A8">
        <w:rPr>
          <w:rFonts w:ascii="Arial" w:hAnsi="Arial" w:cs="Arial"/>
          <w:sz w:val="20"/>
          <w:szCs w:val="20"/>
          <w:lang w:eastAsia="zh-TW"/>
        </w:rPr>
        <w:t xml:space="preserve">maximum price discount </w:t>
      </w:r>
      <w:r>
        <w:rPr>
          <w:rFonts w:ascii="Arial" w:hAnsi="Arial" w:cs="Arial"/>
          <w:sz w:val="20"/>
          <w:szCs w:val="20"/>
          <w:lang w:eastAsia="zh-TW"/>
        </w:rPr>
        <w:t xml:space="preserve">allowed on a </w:t>
      </w:r>
      <w:r w:rsidRPr="007470A8">
        <w:rPr>
          <w:rFonts w:ascii="Arial" w:hAnsi="Arial" w:cs="Arial"/>
          <w:sz w:val="20"/>
          <w:szCs w:val="20"/>
        </w:rPr>
        <w:t>resale of treasury shares</w:t>
      </w:r>
      <w:r>
        <w:rPr>
          <w:rFonts w:ascii="Arial" w:hAnsi="Arial" w:cs="Arial"/>
          <w:sz w:val="20"/>
          <w:szCs w:val="20"/>
        </w:rPr>
        <w:t xml:space="preserve"> applies equally to dual-</w:t>
      </w:r>
      <w:r w:rsidR="00DA5701" w:rsidRPr="007470A8">
        <w:rPr>
          <w:rFonts w:ascii="Arial" w:hAnsi="Arial" w:cs="Arial"/>
          <w:sz w:val="20"/>
          <w:szCs w:val="20"/>
        </w:rPr>
        <w:t xml:space="preserve">listed companies </w:t>
      </w:r>
      <w:r w:rsidR="00870719" w:rsidRPr="007470A8">
        <w:rPr>
          <w:rFonts w:ascii="Arial" w:hAnsi="Arial" w:cs="Arial"/>
          <w:sz w:val="20"/>
          <w:szCs w:val="20"/>
        </w:rPr>
        <w:t>an</w:t>
      </w:r>
      <w:r w:rsidR="008C1E6F">
        <w:rPr>
          <w:rFonts w:ascii="Arial" w:hAnsi="Arial" w:cs="Arial"/>
          <w:sz w:val="20"/>
          <w:szCs w:val="20"/>
        </w:rPr>
        <w:t>d the 20% discount price limit will be</w:t>
      </w:r>
      <w:r w:rsidR="00870719" w:rsidRPr="007470A8">
        <w:rPr>
          <w:rFonts w:ascii="Arial" w:hAnsi="Arial" w:cs="Arial"/>
          <w:sz w:val="20"/>
          <w:szCs w:val="20"/>
        </w:rPr>
        <w:t xml:space="preserve"> calculated based on the closing prices of</w:t>
      </w:r>
      <w:r w:rsidR="004662DF">
        <w:rPr>
          <w:rFonts w:ascii="Arial" w:hAnsi="Arial" w:cs="Arial"/>
          <w:sz w:val="20"/>
          <w:szCs w:val="20"/>
        </w:rPr>
        <w:t xml:space="preserve"> the shares traded on the HKEX; </w:t>
      </w:r>
    </w:p>
    <w:p w14:paraId="5D4AEB23" w14:textId="77777777" w:rsidR="004662DF" w:rsidRPr="007470A8" w:rsidRDefault="004662DF" w:rsidP="004662DF">
      <w:pPr>
        <w:pStyle w:val="a5"/>
        <w:spacing w:after="0"/>
        <w:ind w:left="993" w:hanging="426"/>
        <w:jc w:val="both"/>
        <w:rPr>
          <w:rFonts w:ascii="Arial" w:hAnsi="Arial" w:cs="Arial"/>
          <w:sz w:val="20"/>
          <w:szCs w:val="20"/>
        </w:rPr>
      </w:pPr>
    </w:p>
    <w:p w14:paraId="1E2B7861" w14:textId="77777777" w:rsidR="00870719" w:rsidRDefault="008C1E6F" w:rsidP="004662DF">
      <w:pPr>
        <w:pStyle w:val="a5"/>
        <w:numPr>
          <w:ilvl w:val="0"/>
          <w:numId w:val="7"/>
        </w:numPr>
        <w:spacing w:after="0"/>
        <w:ind w:left="993" w:hanging="426"/>
        <w:jc w:val="both"/>
        <w:rPr>
          <w:rFonts w:ascii="Arial" w:hAnsi="Arial" w:cs="Arial"/>
          <w:sz w:val="20"/>
          <w:szCs w:val="20"/>
        </w:rPr>
      </w:pPr>
      <w:r>
        <w:rPr>
          <w:rFonts w:ascii="Arial" w:hAnsi="Arial" w:cs="Arial"/>
          <w:sz w:val="20"/>
          <w:szCs w:val="20"/>
        </w:rPr>
        <w:t xml:space="preserve">the </w:t>
      </w:r>
      <w:r w:rsidR="004662DF">
        <w:rPr>
          <w:rFonts w:ascii="Arial" w:hAnsi="Arial" w:cs="Arial"/>
          <w:sz w:val="20"/>
          <w:szCs w:val="20"/>
        </w:rPr>
        <w:t>r</w:t>
      </w:r>
      <w:r w:rsidR="00DA5701" w:rsidRPr="007470A8">
        <w:rPr>
          <w:rFonts w:ascii="Arial" w:hAnsi="Arial" w:cs="Arial"/>
          <w:sz w:val="20"/>
          <w:szCs w:val="20"/>
        </w:rPr>
        <w:t xml:space="preserve">esale of treasury shares repurchased </w:t>
      </w:r>
      <w:r>
        <w:rPr>
          <w:rFonts w:ascii="Arial" w:hAnsi="Arial" w:cs="Arial"/>
          <w:sz w:val="20"/>
          <w:szCs w:val="20"/>
        </w:rPr>
        <w:t xml:space="preserve">in </w:t>
      </w:r>
      <w:r w:rsidR="00DA5701" w:rsidRPr="007470A8">
        <w:rPr>
          <w:rFonts w:ascii="Arial" w:hAnsi="Arial" w:cs="Arial"/>
          <w:sz w:val="20"/>
          <w:szCs w:val="20"/>
        </w:rPr>
        <w:t>other circumstances such as off-market share buy</w:t>
      </w:r>
      <w:r w:rsidR="00D54468">
        <w:rPr>
          <w:rFonts w:ascii="Arial" w:hAnsi="Arial" w:cs="Arial"/>
          <w:sz w:val="20"/>
          <w:szCs w:val="20"/>
        </w:rPr>
        <w:t>-</w:t>
      </w:r>
      <w:r w:rsidR="00DA5701" w:rsidRPr="007470A8">
        <w:rPr>
          <w:rFonts w:ascii="Arial" w:hAnsi="Arial" w:cs="Arial"/>
          <w:sz w:val="20"/>
          <w:szCs w:val="20"/>
        </w:rPr>
        <w:t>back</w:t>
      </w:r>
      <w:r>
        <w:rPr>
          <w:rFonts w:ascii="Arial" w:hAnsi="Arial" w:cs="Arial"/>
          <w:sz w:val="20"/>
          <w:szCs w:val="20"/>
        </w:rPr>
        <w:t>s</w:t>
      </w:r>
      <w:r w:rsidR="00DA5701" w:rsidRPr="007470A8">
        <w:rPr>
          <w:rFonts w:ascii="Arial" w:hAnsi="Arial" w:cs="Arial"/>
          <w:sz w:val="20"/>
          <w:szCs w:val="20"/>
        </w:rPr>
        <w:t xml:space="preserve"> are also subj</w:t>
      </w:r>
      <w:r w:rsidR="004662DF">
        <w:rPr>
          <w:rFonts w:ascii="Arial" w:hAnsi="Arial" w:cs="Arial"/>
          <w:sz w:val="20"/>
          <w:szCs w:val="20"/>
        </w:rPr>
        <w:t xml:space="preserve">ect to the general mandate limit; </w:t>
      </w:r>
    </w:p>
    <w:p w14:paraId="04B5F2D7" w14:textId="77777777" w:rsidR="004662DF" w:rsidRPr="004662DF" w:rsidRDefault="004662DF" w:rsidP="004662DF">
      <w:pPr>
        <w:spacing w:after="0"/>
        <w:ind w:left="993" w:hanging="426"/>
        <w:jc w:val="both"/>
        <w:rPr>
          <w:rFonts w:ascii="Arial" w:hAnsi="Arial" w:cs="Arial"/>
          <w:sz w:val="20"/>
          <w:szCs w:val="20"/>
        </w:rPr>
      </w:pPr>
    </w:p>
    <w:p w14:paraId="5331CE2A" w14:textId="77777777" w:rsidR="00870719" w:rsidRDefault="00D54468" w:rsidP="004662DF">
      <w:pPr>
        <w:pStyle w:val="a5"/>
        <w:numPr>
          <w:ilvl w:val="0"/>
          <w:numId w:val="7"/>
        </w:numPr>
        <w:spacing w:after="0"/>
        <w:ind w:left="993" w:hanging="426"/>
        <w:jc w:val="both"/>
        <w:rPr>
          <w:rFonts w:ascii="Arial" w:hAnsi="Arial" w:cs="Arial"/>
          <w:sz w:val="20"/>
          <w:szCs w:val="20"/>
        </w:rPr>
      </w:pPr>
      <w:r w:rsidRPr="007470A8">
        <w:rPr>
          <w:rFonts w:ascii="Arial" w:hAnsi="Arial" w:cs="Arial"/>
          <w:sz w:val="20"/>
          <w:szCs w:val="20"/>
          <w:lang w:eastAsia="zh-TW"/>
        </w:rPr>
        <w:t>shareho</w:t>
      </w:r>
      <w:r>
        <w:rPr>
          <w:rFonts w:ascii="Arial" w:hAnsi="Arial" w:cs="Arial"/>
          <w:sz w:val="20"/>
          <w:szCs w:val="20"/>
          <w:lang w:eastAsia="zh-TW"/>
        </w:rPr>
        <w:t xml:space="preserve">lders’ approval is not required </w:t>
      </w:r>
      <w:r w:rsidR="004662DF">
        <w:rPr>
          <w:rFonts w:ascii="Arial" w:hAnsi="Arial" w:cs="Arial"/>
          <w:sz w:val="20"/>
          <w:szCs w:val="20"/>
          <w:lang w:eastAsia="zh-TW"/>
        </w:rPr>
        <w:t>f</w:t>
      </w:r>
      <w:r w:rsidR="00DA5701" w:rsidRPr="007470A8">
        <w:rPr>
          <w:rFonts w:ascii="Arial" w:hAnsi="Arial" w:cs="Arial"/>
          <w:sz w:val="20"/>
          <w:szCs w:val="20"/>
          <w:lang w:eastAsia="zh-TW"/>
        </w:rPr>
        <w:t>or the transfer of shares out of treasury for distributing scrip dividends or for satisfying s</w:t>
      </w:r>
      <w:r>
        <w:rPr>
          <w:rFonts w:ascii="Arial" w:hAnsi="Arial" w:cs="Arial"/>
          <w:sz w:val="20"/>
          <w:szCs w:val="20"/>
          <w:lang w:eastAsia="zh-TW"/>
        </w:rPr>
        <w:t>hare grants under share schemes</w:t>
      </w:r>
      <w:r w:rsidR="004662DF">
        <w:rPr>
          <w:rFonts w:ascii="Arial" w:hAnsi="Arial" w:cs="Arial"/>
          <w:sz w:val="20"/>
          <w:szCs w:val="20"/>
          <w:lang w:eastAsia="zh-TW"/>
        </w:rPr>
        <w:t xml:space="preserve">; </w:t>
      </w:r>
      <w:r>
        <w:rPr>
          <w:rFonts w:ascii="Arial" w:hAnsi="Arial" w:cs="Arial"/>
          <w:sz w:val="20"/>
          <w:szCs w:val="20"/>
          <w:lang w:eastAsia="zh-TW"/>
        </w:rPr>
        <w:t>and</w:t>
      </w:r>
    </w:p>
    <w:p w14:paraId="38BEF39B" w14:textId="77777777" w:rsidR="004662DF" w:rsidRPr="004662DF" w:rsidRDefault="004662DF" w:rsidP="004662DF">
      <w:pPr>
        <w:spacing w:after="0"/>
        <w:ind w:left="993" w:hanging="426"/>
        <w:jc w:val="both"/>
        <w:rPr>
          <w:rFonts w:ascii="Arial" w:hAnsi="Arial" w:cs="Arial"/>
          <w:sz w:val="20"/>
          <w:szCs w:val="20"/>
        </w:rPr>
      </w:pPr>
    </w:p>
    <w:p w14:paraId="10944CB1" w14:textId="77777777" w:rsidR="00044A0D" w:rsidRPr="007470A8" w:rsidRDefault="004662DF" w:rsidP="004662DF">
      <w:pPr>
        <w:pStyle w:val="a5"/>
        <w:numPr>
          <w:ilvl w:val="0"/>
          <w:numId w:val="7"/>
        </w:numPr>
        <w:spacing w:after="0"/>
        <w:ind w:left="993" w:hanging="426"/>
        <w:jc w:val="both"/>
        <w:rPr>
          <w:rFonts w:ascii="Arial" w:hAnsi="Arial" w:cs="Arial"/>
          <w:sz w:val="20"/>
          <w:szCs w:val="20"/>
        </w:rPr>
      </w:pPr>
      <w:r>
        <w:rPr>
          <w:rFonts w:ascii="Arial" w:hAnsi="Arial" w:cs="Arial"/>
          <w:sz w:val="20"/>
          <w:szCs w:val="20"/>
        </w:rPr>
        <w:t>t</w:t>
      </w:r>
      <w:r w:rsidR="00DA5701" w:rsidRPr="007470A8">
        <w:rPr>
          <w:rFonts w:ascii="Arial" w:hAnsi="Arial" w:cs="Arial"/>
          <w:sz w:val="20"/>
          <w:szCs w:val="20"/>
        </w:rPr>
        <w:t>he general mandate and share schemes must specifically state that the shares in question are treasury shares. However, if amendments to the share scheme are required, this will not constitute a material alteration t</w:t>
      </w:r>
      <w:r w:rsidR="00D54468">
        <w:rPr>
          <w:rFonts w:ascii="Arial" w:hAnsi="Arial" w:cs="Arial"/>
          <w:sz w:val="20"/>
          <w:szCs w:val="20"/>
        </w:rPr>
        <w:t xml:space="preserve">hat would </w:t>
      </w:r>
      <w:r w:rsidR="008C1E6F">
        <w:rPr>
          <w:rFonts w:ascii="Arial" w:hAnsi="Arial" w:cs="Arial"/>
          <w:sz w:val="20"/>
          <w:szCs w:val="20"/>
        </w:rPr>
        <w:t xml:space="preserve">require </w:t>
      </w:r>
      <w:r w:rsidR="00D54468">
        <w:rPr>
          <w:rFonts w:ascii="Arial" w:hAnsi="Arial" w:cs="Arial"/>
          <w:sz w:val="20"/>
          <w:szCs w:val="20"/>
        </w:rPr>
        <w:t>shareholders’</w:t>
      </w:r>
      <w:r w:rsidR="00DA5701" w:rsidRPr="007470A8">
        <w:rPr>
          <w:rFonts w:ascii="Arial" w:hAnsi="Arial" w:cs="Arial"/>
          <w:sz w:val="20"/>
          <w:szCs w:val="20"/>
        </w:rPr>
        <w:t xml:space="preserve"> approval under </w:t>
      </w:r>
      <w:r>
        <w:rPr>
          <w:rFonts w:ascii="Arial" w:hAnsi="Arial" w:cs="Arial"/>
          <w:sz w:val="20"/>
          <w:szCs w:val="20"/>
        </w:rPr>
        <w:t xml:space="preserve">MB </w:t>
      </w:r>
      <w:r w:rsidR="00DA5701" w:rsidRPr="007470A8">
        <w:rPr>
          <w:rFonts w:ascii="Arial" w:hAnsi="Arial" w:cs="Arial"/>
          <w:sz w:val="20"/>
          <w:szCs w:val="20"/>
        </w:rPr>
        <w:t xml:space="preserve">Chapter 17. </w:t>
      </w:r>
    </w:p>
    <w:p w14:paraId="244ECB70" w14:textId="77777777" w:rsidR="00EB34D6" w:rsidRPr="007470A8" w:rsidRDefault="00EB34D6" w:rsidP="004D1795">
      <w:pPr>
        <w:pStyle w:val="a5"/>
        <w:spacing w:after="0"/>
        <w:ind w:left="426"/>
        <w:jc w:val="both"/>
        <w:rPr>
          <w:rFonts w:ascii="Arial" w:hAnsi="Arial" w:cs="Arial"/>
          <w:sz w:val="20"/>
          <w:szCs w:val="20"/>
          <w:lang w:eastAsia="zh-TW"/>
        </w:rPr>
      </w:pPr>
    </w:p>
    <w:p w14:paraId="7DDF56CF" w14:textId="77777777" w:rsidR="00866E83" w:rsidRPr="00D54468" w:rsidRDefault="00DA5701" w:rsidP="004D1795">
      <w:pPr>
        <w:pStyle w:val="a5"/>
        <w:numPr>
          <w:ilvl w:val="0"/>
          <w:numId w:val="1"/>
        </w:numPr>
        <w:spacing w:after="0"/>
        <w:ind w:left="426"/>
        <w:jc w:val="both"/>
        <w:rPr>
          <w:rFonts w:ascii="Arial" w:hAnsi="Arial" w:cs="Arial"/>
          <w:b/>
          <w:color w:val="FF0000"/>
          <w:sz w:val="20"/>
          <w:szCs w:val="20"/>
          <w:lang w:eastAsia="zh-TW"/>
        </w:rPr>
      </w:pPr>
      <w:r w:rsidRPr="00D54468">
        <w:rPr>
          <w:rFonts w:ascii="Arial" w:hAnsi="Arial" w:cs="Arial"/>
          <w:b/>
          <w:color w:val="FF0000"/>
          <w:sz w:val="20"/>
          <w:szCs w:val="20"/>
          <w:lang w:eastAsia="zh-TW"/>
        </w:rPr>
        <w:t xml:space="preserve">Proposals on mitigating market manipulation risks and insider dealing </w:t>
      </w:r>
    </w:p>
    <w:p w14:paraId="7C123C34" w14:textId="77777777" w:rsidR="00044A0D" w:rsidRPr="007470A8" w:rsidRDefault="00044A0D" w:rsidP="004D1795">
      <w:pPr>
        <w:pStyle w:val="a5"/>
        <w:spacing w:after="0"/>
        <w:ind w:left="426"/>
        <w:jc w:val="both"/>
        <w:rPr>
          <w:rFonts w:ascii="Arial" w:hAnsi="Arial" w:cs="Arial"/>
          <w:sz w:val="20"/>
          <w:szCs w:val="20"/>
          <w:lang w:eastAsia="zh-TW"/>
        </w:rPr>
      </w:pPr>
    </w:p>
    <w:p w14:paraId="629CA494" w14:textId="77777777" w:rsidR="00044A0D" w:rsidRPr="00D54468" w:rsidRDefault="00DA5701" w:rsidP="004D1795">
      <w:pPr>
        <w:pStyle w:val="a5"/>
        <w:numPr>
          <w:ilvl w:val="0"/>
          <w:numId w:val="8"/>
        </w:numPr>
        <w:spacing w:after="0"/>
        <w:jc w:val="both"/>
        <w:rPr>
          <w:rFonts w:ascii="Arial" w:hAnsi="Arial" w:cs="Arial"/>
          <w:b/>
          <w:sz w:val="20"/>
          <w:szCs w:val="20"/>
          <w:lang w:eastAsia="zh-TW"/>
        </w:rPr>
      </w:pPr>
      <w:r w:rsidRPr="00D54468">
        <w:rPr>
          <w:rFonts w:ascii="Arial" w:hAnsi="Arial" w:cs="Arial"/>
          <w:b/>
          <w:sz w:val="20"/>
          <w:szCs w:val="20"/>
          <w:lang w:eastAsia="zh-TW"/>
        </w:rPr>
        <w:t>Moratorium periods for share repurchases and resales of treasury shares</w:t>
      </w:r>
    </w:p>
    <w:p w14:paraId="2E62AE30" w14:textId="77777777" w:rsidR="00CA5F05" w:rsidRDefault="00CA5F05" w:rsidP="004D1795">
      <w:pPr>
        <w:spacing w:after="0"/>
        <w:ind w:left="786"/>
        <w:jc w:val="both"/>
        <w:rPr>
          <w:rFonts w:ascii="Arial" w:hAnsi="Arial" w:cs="Arial"/>
          <w:sz w:val="20"/>
          <w:szCs w:val="20"/>
          <w:lang w:eastAsia="zh-TW"/>
        </w:rPr>
      </w:pPr>
    </w:p>
    <w:p w14:paraId="1AC13AE9" w14:textId="77777777" w:rsidR="00D54468" w:rsidRDefault="00DA5701" w:rsidP="004D1795">
      <w:pPr>
        <w:spacing w:after="0"/>
        <w:ind w:left="786"/>
        <w:jc w:val="both"/>
        <w:rPr>
          <w:rFonts w:ascii="Arial" w:hAnsi="Arial" w:cs="Arial"/>
          <w:sz w:val="20"/>
          <w:szCs w:val="20"/>
          <w:lang w:eastAsia="zh-TW"/>
        </w:rPr>
      </w:pPr>
      <w:r w:rsidRPr="007470A8">
        <w:rPr>
          <w:rFonts w:ascii="Arial" w:hAnsi="Arial" w:cs="Arial"/>
          <w:sz w:val="20"/>
          <w:szCs w:val="20"/>
          <w:lang w:eastAsia="zh-TW"/>
        </w:rPr>
        <w:t xml:space="preserve">The HKEX </w:t>
      </w:r>
      <w:r w:rsidR="00D54468">
        <w:rPr>
          <w:rFonts w:ascii="Arial" w:hAnsi="Arial" w:cs="Arial"/>
          <w:sz w:val="20"/>
          <w:szCs w:val="20"/>
          <w:lang w:eastAsia="zh-TW"/>
        </w:rPr>
        <w:t xml:space="preserve">will </w:t>
      </w:r>
      <w:r w:rsidRPr="007470A8">
        <w:rPr>
          <w:rFonts w:ascii="Arial" w:hAnsi="Arial" w:cs="Arial"/>
          <w:sz w:val="20"/>
          <w:szCs w:val="20"/>
          <w:lang w:eastAsia="zh-TW"/>
        </w:rPr>
        <w:t>impose</w:t>
      </w:r>
      <w:r w:rsidR="00D54468">
        <w:rPr>
          <w:rFonts w:ascii="Arial" w:hAnsi="Arial" w:cs="Arial"/>
          <w:sz w:val="20"/>
          <w:szCs w:val="20"/>
          <w:lang w:eastAsia="zh-TW"/>
        </w:rPr>
        <w:t xml:space="preserve"> a</w:t>
      </w:r>
      <w:r w:rsidRPr="007470A8">
        <w:rPr>
          <w:rFonts w:ascii="Arial" w:hAnsi="Arial" w:cs="Arial"/>
          <w:sz w:val="20"/>
          <w:szCs w:val="20"/>
          <w:lang w:eastAsia="zh-TW"/>
        </w:rPr>
        <w:t xml:space="preserve"> 30-day moratorium </w:t>
      </w:r>
      <w:r w:rsidR="00780364" w:rsidRPr="007470A8">
        <w:rPr>
          <w:rFonts w:ascii="Arial" w:hAnsi="Arial" w:cs="Arial"/>
          <w:sz w:val="20"/>
          <w:szCs w:val="20"/>
          <w:lang w:eastAsia="zh-TW"/>
        </w:rPr>
        <w:t xml:space="preserve">under </w:t>
      </w:r>
      <w:r w:rsidR="007458D1">
        <w:rPr>
          <w:rFonts w:ascii="Arial" w:hAnsi="Arial" w:cs="Arial"/>
          <w:sz w:val="20"/>
          <w:szCs w:val="20"/>
        </w:rPr>
        <w:t>MB</w:t>
      </w:r>
      <w:r w:rsidR="007458D1" w:rsidRPr="007470A8">
        <w:rPr>
          <w:rFonts w:ascii="Arial" w:hAnsi="Arial" w:cs="Arial"/>
          <w:sz w:val="20"/>
          <w:szCs w:val="20"/>
          <w:lang w:eastAsia="zh-TW"/>
        </w:rPr>
        <w:t xml:space="preserve"> </w:t>
      </w:r>
      <w:r w:rsidR="00780364" w:rsidRPr="007470A8">
        <w:rPr>
          <w:rFonts w:ascii="Arial" w:hAnsi="Arial" w:cs="Arial"/>
          <w:sz w:val="20"/>
          <w:szCs w:val="20"/>
          <w:lang w:eastAsia="zh-TW"/>
        </w:rPr>
        <w:t>Rule 10.6(3)(a)</w:t>
      </w:r>
      <w:r w:rsidRPr="007458D1">
        <w:rPr>
          <w:rFonts w:ascii="Arial" w:hAnsi="Arial" w:cs="Arial"/>
          <w:sz w:val="20"/>
          <w:szCs w:val="20"/>
          <w:vertAlign w:val="superscript"/>
        </w:rPr>
        <w:footnoteReference w:id="14"/>
      </w:r>
      <w:r w:rsidR="00D54468">
        <w:rPr>
          <w:rFonts w:ascii="Arial" w:hAnsi="Arial" w:cs="Arial"/>
          <w:sz w:val="20"/>
          <w:szCs w:val="20"/>
          <w:vertAlign w:val="superscript"/>
          <w:lang w:eastAsia="zh-TW"/>
        </w:rPr>
        <w:t xml:space="preserve"> </w:t>
      </w:r>
      <w:r w:rsidR="00D54468">
        <w:rPr>
          <w:rFonts w:ascii="Arial" w:hAnsi="Arial" w:cs="Arial"/>
          <w:sz w:val="20"/>
          <w:szCs w:val="20"/>
          <w:lang w:eastAsia="zh-TW"/>
        </w:rPr>
        <w:t>on:</w:t>
      </w:r>
    </w:p>
    <w:p w14:paraId="01FDBD76" w14:textId="77777777" w:rsidR="00D54468" w:rsidRDefault="00D54468" w:rsidP="004D1795">
      <w:pPr>
        <w:spacing w:after="0"/>
        <w:ind w:left="786"/>
        <w:jc w:val="both"/>
        <w:rPr>
          <w:rFonts w:ascii="Arial" w:hAnsi="Arial" w:cs="Arial"/>
          <w:sz w:val="20"/>
          <w:szCs w:val="20"/>
          <w:lang w:eastAsia="zh-TW"/>
        </w:rPr>
      </w:pPr>
    </w:p>
    <w:p w14:paraId="7E5A0FE9" w14:textId="77777777" w:rsidR="00D54468" w:rsidRDefault="00D54468" w:rsidP="00D54468">
      <w:pPr>
        <w:pStyle w:val="a5"/>
        <w:numPr>
          <w:ilvl w:val="0"/>
          <w:numId w:val="21"/>
        </w:numPr>
        <w:spacing w:after="0"/>
        <w:jc w:val="both"/>
        <w:rPr>
          <w:rFonts w:ascii="Arial" w:hAnsi="Arial" w:cs="Arial"/>
          <w:sz w:val="20"/>
          <w:szCs w:val="20"/>
          <w:lang w:eastAsia="zh-TW"/>
        </w:rPr>
      </w:pPr>
      <w:r w:rsidRPr="00D54468">
        <w:rPr>
          <w:rFonts w:ascii="Arial" w:hAnsi="Arial" w:cs="Arial"/>
          <w:sz w:val="20"/>
          <w:szCs w:val="20"/>
          <w:lang w:eastAsia="zh-TW"/>
        </w:rPr>
        <w:t>a resale of treasury shares</w:t>
      </w:r>
      <w:r>
        <w:rPr>
          <w:rFonts w:ascii="Arial" w:hAnsi="Arial" w:cs="Arial"/>
          <w:sz w:val="20"/>
          <w:szCs w:val="20"/>
          <w:lang w:eastAsia="zh-TW"/>
        </w:rPr>
        <w:t xml:space="preserve"> after an </w:t>
      </w:r>
      <w:r w:rsidR="00DA5701" w:rsidRPr="00D54468">
        <w:rPr>
          <w:rFonts w:ascii="Arial" w:hAnsi="Arial" w:cs="Arial"/>
          <w:sz w:val="20"/>
          <w:szCs w:val="20"/>
          <w:lang w:eastAsia="zh-TW"/>
        </w:rPr>
        <w:t>on-</w:t>
      </w:r>
      <w:r>
        <w:rPr>
          <w:rFonts w:ascii="Arial" w:hAnsi="Arial" w:cs="Arial"/>
          <w:sz w:val="20"/>
          <w:szCs w:val="20"/>
          <w:lang w:eastAsia="zh-TW"/>
        </w:rPr>
        <w:t xml:space="preserve"> or off-market share repurchase;</w:t>
      </w:r>
      <w:r w:rsidR="00DA5701" w:rsidRPr="00D54468">
        <w:rPr>
          <w:rFonts w:ascii="Arial" w:hAnsi="Arial" w:cs="Arial"/>
          <w:sz w:val="20"/>
          <w:szCs w:val="20"/>
          <w:lang w:eastAsia="zh-TW"/>
        </w:rPr>
        <w:t xml:space="preserve"> </w:t>
      </w:r>
      <w:r>
        <w:rPr>
          <w:rFonts w:ascii="Arial" w:hAnsi="Arial" w:cs="Arial"/>
          <w:sz w:val="20"/>
          <w:szCs w:val="20"/>
          <w:lang w:eastAsia="zh-TW"/>
        </w:rPr>
        <w:t>and</w:t>
      </w:r>
    </w:p>
    <w:p w14:paraId="602158C1" w14:textId="77777777" w:rsidR="00D54468" w:rsidRDefault="00D54468" w:rsidP="00D54468">
      <w:pPr>
        <w:pStyle w:val="a5"/>
        <w:spacing w:after="0"/>
        <w:ind w:left="1560"/>
        <w:jc w:val="both"/>
        <w:rPr>
          <w:rFonts w:ascii="Arial" w:hAnsi="Arial" w:cs="Arial"/>
          <w:sz w:val="20"/>
          <w:szCs w:val="20"/>
          <w:lang w:eastAsia="zh-TW"/>
        </w:rPr>
      </w:pPr>
    </w:p>
    <w:p w14:paraId="7A56BF4C" w14:textId="77777777" w:rsidR="00D54468" w:rsidRDefault="00D54468" w:rsidP="00D54468">
      <w:pPr>
        <w:pStyle w:val="a5"/>
        <w:numPr>
          <w:ilvl w:val="0"/>
          <w:numId w:val="21"/>
        </w:numPr>
        <w:spacing w:after="0"/>
        <w:jc w:val="both"/>
        <w:rPr>
          <w:rFonts w:ascii="Arial" w:hAnsi="Arial" w:cs="Arial"/>
          <w:sz w:val="20"/>
          <w:szCs w:val="20"/>
          <w:lang w:eastAsia="zh-TW"/>
        </w:rPr>
      </w:pPr>
      <w:r>
        <w:rPr>
          <w:rFonts w:ascii="Arial" w:hAnsi="Arial" w:cs="Arial"/>
          <w:sz w:val="20"/>
          <w:szCs w:val="20"/>
          <w:lang w:eastAsia="zh-TW"/>
        </w:rPr>
        <w:t>an on-Exchange share repurchase</w:t>
      </w:r>
      <w:r w:rsidR="00780364" w:rsidRPr="00D54468">
        <w:rPr>
          <w:rFonts w:ascii="Arial" w:hAnsi="Arial" w:cs="Arial"/>
          <w:sz w:val="20"/>
          <w:szCs w:val="20"/>
          <w:lang w:eastAsia="zh-TW"/>
        </w:rPr>
        <w:t xml:space="preserve"> after an on-Exch</w:t>
      </w:r>
      <w:r>
        <w:rPr>
          <w:rFonts w:ascii="Arial" w:hAnsi="Arial" w:cs="Arial"/>
          <w:sz w:val="20"/>
          <w:szCs w:val="20"/>
          <w:lang w:eastAsia="zh-TW"/>
        </w:rPr>
        <w:t>ange resale of treasury shares.</w:t>
      </w:r>
    </w:p>
    <w:p w14:paraId="6CF5C8FB" w14:textId="77777777" w:rsidR="00D54468" w:rsidRDefault="00D54468" w:rsidP="00D54468">
      <w:pPr>
        <w:pStyle w:val="a5"/>
        <w:rPr>
          <w:rFonts w:ascii="Arial" w:hAnsi="Arial" w:cs="Arial"/>
          <w:sz w:val="20"/>
          <w:szCs w:val="20"/>
          <w:lang w:eastAsia="zh-TW"/>
        </w:rPr>
      </w:pPr>
    </w:p>
    <w:p w14:paraId="2C2C477C" w14:textId="77777777" w:rsidR="005D0F5F" w:rsidRDefault="005D0F5F" w:rsidP="00D54468">
      <w:pPr>
        <w:pStyle w:val="a5"/>
        <w:rPr>
          <w:rFonts w:ascii="Arial" w:hAnsi="Arial" w:cs="Arial"/>
          <w:sz w:val="20"/>
          <w:szCs w:val="20"/>
          <w:lang w:eastAsia="zh-TW"/>
        </w:rPr>
      </w:pPr>
      <w:r>
        <w:rPr>
          <w:rFonts w:ascii="Arial" w:hAnsi="Arial" w:cs="Arial"/>
          <w:sz w:val="20"/>
          <w:szCs w:val="20"/>
          <w:lang w:eastAsia="zh-TW"/>
        </w:rPr>
        <w:t>The moratorium on resales of treasury shares will be subject to a carve-out for:</w:t>
      </w:r>
    </w:p>
    <w:p w14:paraId="39BF3517" w14:textId="77777777" w:rsidR="005D0F5F" w:rsidRDefault="005D0F5F" w:rsidP="00D54468">
      <w:pPr>
        <w:pStyle w:val="a5"/>
        <w:rPr>
          <w:rFonts w:ascii="Arial" w:hAnsi="Arial" w:cs="Arial"/>
          <w:sz w:val="20"/>
          <w:szCs w:val="20"/>
          <w:lang w:eastAsia="zh-TW"/>
        </w:rPr>
      </w:pPr>
    </w:p>
    <w:p w14:paraId="77649369" w14:textId="77777777" w:rsidR="005D0F5F" w:rsidRDefault="005D0F5F" w:rsidP="005D0F5F">
      <w:pPr>
        <w:pStyle w:val="a5"/>
        <w:numPr>
          <w:ilvl w:val="0"/>
          <w:numId w:val="22"/>
        </w:numPr>
        <w:rPr>
          <w:rFonts w:ascii="Arial" w:hAnsi="Arial" w:cs="Arial"/>
          <w:sz w:val="20"/>
          <w:szCs w:val="20"/>
          <w:lang w:eastAsia="zh-TW"/>
        </w:rPr>
      </w:pPr>
      <w:r>
        <w:rPr>
          <w:rFonts w:ascii="Arial" w:hAnsi="Arial" w:cs="Arial"/>
          <w:sz w:val="20"/>
          <w:szCs w:val="20"/>
          <w:lang w:eastAsia="zh-TW"/>
        </w:rPr>
        <w:t>resales of shares under capitalisation issues (e.g. bonus issues and scrip dividends); and</w:t>
      </w:r>
    </w:p>
    <w:p w14:paraId="68781E1A" w14:textId="77777777" w:rsidR="005D0F5F" w:rsidRDefault="005D0F5F" w:rsidP="005D0F5F">
      <w:pPr>
        <w:pStyle w:val="a5"/>
        <w:ind w:left="1493"/>
        <w:rPr>
          <w:rFonts w:ascii="Arial" w:hAnsi="Arial" w:cs="Arial"/>
          <w:sz w:val="20"/>
          <w:szCs w:val="20"/>
          <w:lang w:eastAsia="zh-TW"/>
        </w:rPr>
      </w:pPr>
    </w:p>
    <w:p w14:paraId="6327A821" w14:textId="77777777" w:rsidR="005D0F5F" w:rsidRDefault="005D0F5F" w:rsidP="008C1E6F">
      <w:pPr>
        <w:pStyle w:val="a5"/>
        <w:numPr>
          <w:ilvl w:val="0"/>
          <w:numId w:val="22"/>
        </w:numPr>
        <w:jc w:val="both"/>
        <w:rPr>
          <w:rFonts w:ascii="Arial" w:hAnsi="Arial" w:cs="Arial"/>
          <w:sz w:val="20"/>
          <w:szCs w:val="20"/>
          <w:lang w:eastAsia="zh-TW"/>
        </w:rPr>
      </w:pPr>
      <w:r>
        <w:rPr>
          <w:rFonts w:ascii="Arial" w:hAnsi="Arial" w:cs="Arial"/>
          <w:sz w:val="20"/>
          <w:szCs w:val="20"/>
          <w:lang w:eastAsia="zh-TW"/>
        </w:rPr>
        <w:t>grants of share awards or options under a share scheme that complies with Chapter 17</w:t>
      </w:r>
      <w:r w:rsidR="008C1E6F">
        <w:rPr>
          <w:rFonts w:ascii="Arial" w:hAnsi="Arial" w:cs="Arial"/>
          <w:sz w:val="20"/>
          <w:szCs w:val="20"/>
          <w:lang w:eastAsia="zh-TW"/>
        </w:rPr>
        <w:t xml:space="preserve"> and </w:t>
      </w:r>
      <w:r>
        <w:rPr>
          <w:rFonts w:ascii="Arial" w:hAnsi="Arial" w:cs="Arial"/>
          <w:sz w:val="20"/>
          <w:szCs w:val="20"/>
          <w:lang w:eastAsia="zh-TW"/>
        </w:rPr>
        <w:t>a new issue of shares or a transfer of treasury shares upon vesting or exercise of share awards or options under the share scheme.</w:t>
      </w:r>
    </w:p>
    <w:p w14:paraId="11E6F00A" w14:textId="4B4AC94E" w:rsidR="00780364" w:rsidRPr="007470A8" w:rsidRDefault="005D0F5F" w:rsidP="001E2257">
      <w:pPr>
        <w:ind w:left="720"/>
        <w:jc w:val="both"/>
        <w:rPr>
          <w:rFonts w:ascii="Arial" w:hAnsi="Arial" w:cs="Arial"/>
          <w:sz w:val="20"/>
          <w:szCs w:val="20"/>
          <w:lang w:eastAsia="zh-TW"/>
        </w:rPr>
      </w:pPr>
      <w:r>
        <w:rPr>
          <w:rFonts w:ascii="Arial" w:hAnsi="Arial" w:cs="Arial"/>
          <w:sz w:val="20"/>
          <w:szCs w:val="20"/>
          <w:lang w:eastAsia="zh-TW"/>
        </w:rPr>
        <w:t xml:space="preserve">The HKEX </w:t>
      </w:r>
      <w:r w:rsidR="008C1E6F">
        <w:rPr>
          <w:rFonts w:ascii="Arial" w:hAnsi="Arial" w:cs="Arial"/>
          <w:sz w:val="20"/>
          <w:szCs w:val="20"/>
          <w:lang w:eastAsia="zh-TW"/>
        </w:rPr>
        <w:t xml:space="preserve">has also </w:t>
      </w:r>
      <w:r>
        <w:rPr>
          <w:rFonts w:ascii="Arial" w:hAnsi="Arial" w:cs="Arial"/>
          <w:sz w:val="20"/>
          <w:szCs w:val="20"/>
          <w:lang w:eastAsia="zh-TW"/>
        </w:rPr>
        <w:t xml:space="preserve">clarified that the carve-out applies to new share issues and transfers of treasury shares by a listed company on the conversion of convertible securities which were issued with subscription monies settled in full before the share repurchase. </w:t>
      </w:r>
    </w:p>
    <w:p w14:paraId="639365BB" w14:textId="77777777" w:rsidR="00BA71DE" w:rsidRDefault="00DA5701" w:rsidP="001E2257">
      <w:pPr>
        <w:pStyle w:val="a5"/>
        <w:spacing w:after="0"/>
        <w:ind w:left="709"/>
        <w:jc w:val="both"/>
        <w:rPr>
          <w:rFonts w:ascii="Arial" w:hAnsi="Arial" w:cs="Arial"/>
          <w:sz w:val="20"/>
          <w:szCs w:val="20"/>
          <w:lang w:eastAsia="zh-TW"/>
        </w:rPr>
      </w:pPr>
      <w:r w:rsidRPr="007470A8">
        <w:rPr>
          <w:rFonts w:ascii="Arial" w:hAnsi="Arial" w:cs="Arial"/>
          <w:sz w:val="20"/>
          <w:szCs w:val="20"/>
          <w:lang w:eastAsia="zh-TW"/>
        </w:rPr>
        <w:t xml:space="preserve">The carve-out to this 30-day moratorium requirement is where the issue or resale is made to fulfill warrants, shares options or other instruments outstanding before the share repurchase. </w:t>
      </w:r>
      <w:r w:rsidRPr="007470A8">
        <w:rPr>
          <w:rFonts w:ascii="Arial" w:hAnsi="Arial" w:cs="Arial"/>
          <w:sz w:val="20"/>
          <w:szCs w:val="20"/>
        </w:rPr>
        <w:t>As</w:t>
      </w:r>
      <w:r w:rsidRPr="007470A8">
        <w:rPr>
          <w:rFonts w:ascii="Arial" w:hAnsi="Arial" w:cs="Arial"/>
          <w:sz w:val="20"/>
          <w:szCs w:val="20"/>
          <w:lang w:eastAsia="zh-TW"/>
        </w:rPr>
        <w:t xml:space="preserve"> </w:t>
      </w:r>
      <w:r w:rsidR="009A19D0" w:rsidRPr="007470A8">
        <w:rPr>
          <w:rFonts w:ascii="Arial" w:hAnsi="Arial" w:cs="Arial"/>
          <w:sz w:val="20"/>
          <w:szCs w:val="20"/>
          <w:lang w:eastAsia="zh-TW"/>
        </w:rPr>
        <w:t>suggested by various respondents,</w:t>
      </w:r>
      <w:r w:rsidR="00780364" w:rsidRPr="007470A8">
        <w:rPr>
          <w:rFonts w:ascii="Arial" w:hAnsi="Arial" w:cs="Arial"/>
          <w:sz w:val="20"/>
          <w:szCs w:val="20"/>
          <w:lang w:eastAsia="zh-TW"/>
        </w:rPr>
        <w:t xml:space="preserve"> </w:t>
      </w:r>
      <w:r w:rsidRPr="007470A8">
        <w:rPr>
          <w:rFonts w:ascii="Arial" w:hAnsi="Arial" w:cs="Arial"/>
          <w:sz w:val="20"/>
          <w:szCs w:val="20"/>
          <w:lang w:eastAsia="zh-TW"/>
        </w:rPr>
        <w:t xml:space="preserve">further </w:t>
      </w:r>
      <w:r w:rsidR="00780364" w:rsidRPr="007470A8">
        <w:rPr>
          <w:rFonts w:ascii="Arial" w:hAnsi="Arial" w:cs="Arial"/>
          <w:sz w:val="20"/>
          <w:szCs w:val="20"/>
          <w:lang w:eastAsia="zh-TW"/>
        </w:rPr>
        <w:t>amendments will</w:t>
      </w:r>
      <w:r w:rsidRPr="007470A8">
        <w:rPr>
          <w:rFonts w:ascii="Arial" w:hAnsi="Arial" w:cs="Arial"/>
          <w:sz w:val="20"/>
          <w:szCs w:val="20"/>
          <w:lang w:eastAsia="zh-TW"/>
        </w:rPr>
        <w:t xml:space="preserve"> be made</w:t>
      </w:r>
      <w:r w:rsidR="00780364" w:rsidRPr="007470A8">
        <w:rPr>
          <w:rFonts w:ascii="Arial" w:hAnsi="Arial" w:cs="Arial"/>
          <w:sz w:val="20"/>
          <w:szCs w:val="20"/>
          <w:lang w:eastAsia="zh-TW"/>
        </w:rPr>
        <w:t xml:space="preserve"> also </w:t>
      </w:r>
      <w:r w:rsidRPr="007470A8">
        <w:rPr>
          <w:rFonts w:ascii="Arial" w:hAnsi="Arial" w:cs="Arial"/>
          <w:sz w:val="20"/>
          <w:szCs w:val="20"/>
          <w:lang w:eastAsia="zh-TW"/>
        </w:rPr>
        <w:t xml:space="preserve">extend the above </w:t>
      </w:r>
      <w:r w:rsidR="00044A0D" w:rsidRPr="007470A8">
        <w:rPr>
          <w:rFonts w:ascii="Arial" w:hAnsi="Arial" w:cs="Arial"/>
          <w:sz w:val="20"/>
          <w:szCs w:val="20"/>
          <w:lang w:eastAsia="zh-TW"/>
        </w:rPr>
        <w:t xml:space="preserve">carve-out for issues or resales of shares </w:t>
      </w:r>
      <w:r w:rsidRPr="007470A8">
        <w:rPr>
          <w:rFonts w:ascii="Arial" w:hAnsi="Arial" w:cs="Arial"/>
          <w:sz w:val="20"/>
          <w:szCs w:val="20"/>
          <w:lang w:eastAsia="zh-TW"/>
        </w:rPr>
        <w:t xml:space="preserve">to include the following situations: </w:t>
      </w:r>
    </w:p>
    <w:p w14:paraId="28B29652" w14:textId="77777777" w:rsidR="00CA5F05" w:rsidRPr="00CA5F05" w:rsidRDefault="00CA5F05" w:rsidP="00CA5F05">
      <w:pPr>
        <w:spacing w:after="0"/>
        <w:jc w:val="both"/>
        <w:rPr>
          <w:rFonts w:ascii="Arial" w:hAnsi="Arial" w:cs="Arial"/>
          <w:sz w:val="20"/>
          <w:szCs w:val="20"/>
          <w:lang w:eastAsia="zh-TW"/>
        </w:rPr>
      </w:pPr>
    </w:p>
    <w:p w14:paraId="663D8408" w14:textId="77777777" w:rsidR="00E9715F" w:rsidRDefault="00DA5701" w:rsidP="004662DF">
      <w:pPr>
        <w:pStyle w:val="a5"/>
        <w:numPr>
          <w:ilvl w:val="0"/>
          <w:numId w:val="9"/>
        </w:numPr>
        <w:spacing w:after="0"/>
        <w:ind w:left="1701" w:hanging="567"/>
        <w:jc w:val="both"/>
        <w:rPr>
          <w:rFonts w:ascii="Arial" w:hAnsi="Arial" w:cs="Arial"/>
          <w:sz w:val="20"/>
          <w:szCs w:val="20"/>
          <w:lang w:eastAsia="zh-TW"/>
        </w:rPr>
      </w:pPr>
      <w:r w:rsidRPr="007470A8">
        <w:rPr>
          <w:rFonts w:ascii="Arial" w:hAnsi="Arial" w:cs="Arial"/>
          <w:sz w:val="20"/>
          <w:szCs w:val="20"/>
          <w:lang w:eastAsia="zh-TW"/>
        </w:rPr>
        <w:t xml:space="preserve">capitalisation issues, such as bonus issues and scrip dividends; </w:t>
      </w:r>
    </w:p>
    <w:p w14:paraId="60FF023E" w14:textId="77777777" w:rsidR="00CA5F05" w:rsidRPr="007470A8" w:rsidRDefault="00CA5F05" w:rsidP="004662DF">
      <w:pPr>
        <w:pStyle w:val="a5"/>
        <w:spacing w:after="0"/>
        <w:ind w:left="1701" w:hanging="567"/>
        <w:jc w:val="both"/>
        <w:rPr>
          <w:rFonts w:ascii="Arial" w:hAnsi="Arial" w:cs="Arial"/>
          <w:sz w:val="20"/>
          <w:szCs w:val="20"/>
          <w:lang w:eastAsia="zh-TW"/>
        </w:rPr>
      </w:pPr>
    </w:p>
    <w:p w14:paraId="3205EE79" w14:textId="77777777" w:rsidR="00E9715F" w:rsidRDefault="00DA5701" w:rsidP="004662DF">
      <w:pPr>
        <w:pStyle w:val="a5"/>
        <w:numPr>
          <w:ilvl w:val="0"/>
          <w:numId w:val="9"/>
        </w:numPr>
        <w:spacing w:after="0"/>
        <w:ind w:left="1701" w:hanging="567"/>
        <w:jc w:val="both"/>
        <w:rPr>
          <w:rFonts w:ascii="Arial" w:hAnsi="Arial" w:cs="Arial"/>
          <w:sz w:val="20"/>
          <w:szCs w:val="20"/>
          <w:lang w:eastAsia="zh-TW"/>
        </w:rPr>
      </w:pPr>
      <w:r w:rsidRPr="007470A8">
        <w:rPr>
          <w:rFonts w:ascii="Arial" w:hAnsi="Arial" w:cs="Arial"/>
          <w:sz w:val="20"/>
          <w:szCs w:val="20"/>
          <w:lang w:eastAsia="zh-TW"/>
        </w:rPr>
        <w:lastRenderedPageBreak/>
        <w:t xml:space="preserve">grants of share awards or options under a share scheme under Chapter 17 or a new issue of shares or a transfer of treasury shares when vesting or exercising the share awards or options under the share scheme; or </w:t>
      </w:r>
    </w:p>
    <w:p w14:paraId="289A6BA7" w14:textId="77777777" w:rsidR="00CA5F05" w:rsidRPr="00CA5F05" w:rsidRDefault="00CA5F05" w:rsidP="004662DF">
      <w:pPr>
        <w:spacing w:after="0"/>
        <w:ind w:left="1701" w:hanging="567"/>
        <w:jc w:val="both"/>
        <w:rPr>
          <w:rFonts w:ascii="Arial" w:hAnsi="Arial" w:cs="Arial"/>
          <w:sz w:val="20"/>
          <w:szCs w:val="20"/>
          <w:lang w:eastAsia="zh-TW"/>
        </w:rPr>
      </w:pPr>
    </w:p>
    <w:p w14:paraId="4DC19703" w14:textId="0F198C68" w:rsidR="00F14972" w:rsidRDefault="00CA5F05" w:rsidP="004662DF">
      <w:pPr>
        <w:pStyle w:val="a5"/>
        <w:numPr>
          <w:ilvl w:val="0"/>
          <w:numId w:val="9"/>
        </w:numPr>
        <w:spacing w:after="0"/>
        <w:ind w:left="1701" w:hanging="567"/>
        <w:jc w:val="both"/>
        <w:rPr>
          <w:rFonts w:ascii="Arial" w:hAnsi="Arial" w:cs="Arial"/>
          <w:sz w:val="20"/>
          <w:szCs w:val="20"/>
          <w:lang w:eastAsia="zh-TW"/>
        </w:rPr>
      </w:pPr>
      <w:r>
        <w:rPr>
          <w:rFonts w:ascii="Arial" w:hAnsi="Arial" w:cs="Arial"/>
          <w:sz w:val="20"/>
          <w:szCs w:val="20"/>
          <w:lang w:eastAsia="zh-TW"/>
        </w:rPr>
        <w:t xml:space="preserve">the </w:t>
      </w:r>
      <w:r w:rsidR="00DA5701" w:rsidRPr="007470A8">
        <w:rPr>
          <w:rFonts w:ascii="Arial" w:hAnsi="Arial" w:cs="Arial"/>
          <w:sz w:val="20"/>
          <w:szCs w:val="20"/>
          <w:lang w:eastAsia="zh-TW"/>
        </w:rPr>
        <w:t xml:space="preserve">issuance of new shares and transfer of treasury shares by an issuer upon conversion of convertible securities, </w:t>
      </w:r>
      <w:r w:rsidR="001F2613" w:rsidRPr="007470A8">
        <w:rPr>
          <w:rFonts w:ascii="Arial" w:hAnsi="Arial" w:cs="Arial"/>
          <w:sz w:val="20"/>
          <w:szCs w:val="20"/>
          <w:lang w:eastAsia="zh-TW"/>
        </w:rPr>
        <w:t>if they were</w:t>
      </w:r>
      <w:r w:rsidR="00DA5701" w:rsidRPr="007470A8">
        <w:rPr>
          <w:rFonts w:ascii="Arial" w:hAnsi="Arial" w:cs="Arial"/>
          <w:sz w:val="20"/>
          <w:szCs w:val="20"/>
          <w:lang w:eastAsia="zh-TW"/>
        </w:rPr>
        <w:t xml:space="preserve"> </w:t>
      </w:r>
      <w:r w:rsidR="001F2613" w:rsidRPr="007470A8">
        <w:rPr>
          <w:rFonts w:ascii="Arial" w:hAnsi="Arial" w:cs="Arial"/>
          <w:sz w:val="20"/>
          <w:szCs w:val="20"/>
          <w:lang w:eastAsia="zh-TW"/>
        </w:rPr>
        <w:t>the</w:t>
      </w:r>
      <w:r w:rsidR="00DA5701" w:rsidRPr="007470A8">
        <w:rPr>
          <w:rFonts w:ascii="Arial" w:hAnsi="Arial" w:cs="Arial"/>
          <w:sz w:val="20"/>
          <w:szCs w:val="20"/>
          <w:lang w:eastAsia="zh-TW"/>
        </w:rPr>
        <w:t xml:space="preserve"> subscription monies </w:t>
      </w:r>
      <w:r w:rsidR="001F2613" w:rsidRPr="007470A8">
        <w:rPr>
          <w:rFonts w:ascii="Arial" w:hAnsi="Arial" w:cs="Arial"/>
          <w:sz w:val="20"/>
          <w:szCs w:val="20"/>
          <w:lang w:eastAsia="zh-TW"/>
        </w:rPr>
        <w:t xml:space="preserve">has been </w:t>
      </w:r>
      <w:r w:rsidR="00DA5701" w:rsidRPr="007470A8">
        <w:rPr>
          <w:rFonts w:ascii="Arial" w:hAnsi="Arial" w:cs="Arial"/>
          <w:sz w:val="20"/>
          <w:szCs w:val="20"/>
          <w:lang w:eastAsia="zh-TW"/>
        </w:rPr>
        <w:t xml:space="preserve">fully settled </w:t>
      </w:r>
      <w:r w:rsidR="001F2613" w:rsidRPr="007470A8">
        <w:rPr>
          <w:rFonts w:ascii="Arial" w:hAnsi="Arial" w:cs="Arial"/>
          <w:sz w:val="20"/>
          <w:szCs w:val="20"/>
          <w:lang w:eastAsia="zh-TW"/>
        </w:rPr>
        <w:t>before</w:t>
      </w:r>
      <w:r w:rsidR="00DA5701" w:rsidRPr="007470A8">
        <w:rPr>
          <w:rFonts w:ascii="Arial" w:hAnsi="Arial" w:cs="Arial"/>
          <w:sz w:val="20"/>
          <w:szCs w:val="20"/>
          <w:lang w:eastAsia="zh-TW"/>
        </w:rPr>
        <w:t xml:space="preserve"> the share repurchase.</w:t>
      </w:r>
    </w:p>
    <w:p w14:paraId="16CB23F6" w14:textId="77777777" w:rsidR="005B45BD" w:rsidRPr="001E2257" w:rsidRDefault="005B45BD" w:rsidP="001E2257">
      <w:pPr>
        <w:pStyle w:val="a5"/>
        <w:spacing w:after="0"/>
        <w:ind w:left="1701"/>
        <w:jc w:val="both"/>
        <w:rPr>
          <w:rFonts w:ascii="Arial" w:hAnsi="Arial" w:cs="Arial"/>
          <w:sz w:val="20"/>
          <w:szCs w:val="20"/>
          <w:lang w:eastAsia="zh-TW"/>
        </w:rPr>
      </w:pPr>
    </w:p>
    <w:p w14:paraId="0A2F4DFE" w14:textId="77777777" w:rsidR="005B45BD" w:rsidRPr="007470A8" w:rsidRDefault="005B45BD" w:rsidP="005B45BD">
      <w:pPr>
        <w:spacing w:after="0"/>
        <w:ind w:left="720"/>
        <w:jc w:val="both"/>
        <w:rPr>
          <w:rFonts w:ascii="Arial" w:hAnsi="Arial" w:cs="Arial"/>
          <w:sz w:val="20"/>
          <w:szCs w:val="20"/>
          <w:lang w:eastAsia="zh-TW"/>
        </w:rPr>
      </w:pPr>
      <w:r w:rsidRPr="007470A8">
        <w:rPr>
          <w:rFonts w:ascii="Arial" w:hAnsi="Arial" w:cs="Arial"/>
          <w:sz w:val="20"/>
          <w:szCs w:val="20"/>
          <w:lang w:eastAsia="zh-TW"/>
        </w:rPr>
        <w:t>Th</w:t>
      </w:r>
      <w:r>
        <w:rPr>
          <w:rFonts w:ascii="Arial" w:hAnsi="Arial" w:cs="Arial"/>
          <w:sz w:val="20"/>
          <w:szCs w:val="20"/>
          <w:lang w:eastAsia="zh-TW"/>
        </w:rPr>
        <w:t xml:space="preserve">e HKEX also clarified that the </w:t>
      </w:r>
      <w:r w:rsidRPr="007470A8">
        <w:rPr>
          <w:rFonts w:ascii="Arial" w:hAnsi="Arial" w:cs="Arial"/>
          <w:sz w:val="20"/>
          <w:szCs w:val="20"/>
          <w:lang w:eastAsia="zh-TW"/>
        </w:rPr>
        <w:t xml:space="preserve">30-day moratorium </w:t>
      </w:r>
      <w:r>
        <w:rPr>
          <w:rFonts w:ascii="Arial" w:hAnsi="Arial" w:cs="Arial"/>
          <w:sz w:val="20"/>
          <w:szCs w:val="20"/>
          <w:lang w:eastAsia="zh-TW"/>
        </w:rPr>
        <w:t>also applies to dual-</w:t>
      </w:r>
      <w:r w:rsidRPr="007470A8">
        <w:rPr>
          <w:rFonts w:ascii="Arial" w:hAnsi="Arial" w:cs="Arial"/>
          <w:sz w:val="20"/>
          <w:szCs w:val="20"/>
          <w:lang w:eastAsia="zh-TW"/>
        </w:rPr>
        <w:t>listed companies. However, the moratorium requirement</w:t>
      </w:r>
      <w:r>
        <w:rPr>
          <w:rFonts w:ascii="Arial" w:hAnsi="Arial" w:cs="Arial"/>
          <w:sz w:val="20"/>
          <w:szCs w:val="20"/>
          <w:lang w:eastAsia="zh-TW"/>
        </w:rPr>
        <w:t xml:space="preserve"> does not apply to the resale of treasury shares A by a PRC company with H and A shares listed on the HKEX and a PRC stock exchange, respectively</w:t>
      </w:r>
      <w:r w:rsidRPr="007470A8">
        <w:rPr>
          <w:rFonts w:ascii="Arial" w:hAnsi="Arial" w:cs="Arial"/>
          <w:sz w:val="20"/>
          <w:szCs w:val="20"/>
          <w:lang w:eastAsia="zh-TW"/>
        </w:rPr>
        <w:t xml:space="preserve">. </w:t>
      </w:r>
    </w:p>
    <w:p w14:paraId="53CFB089" w14:textId="77777777" w:rsidR="005B45BD" w:rsidRPr="005B45BD" w:rsidRDefault="005B45BD" w:rsidP="005B45BD">
      <w:pPr>
        <w:spacing w:after="0"/>
        <w:ind w:left="720"/>
        <w:jc w:val="both"/>
        <w:rPr>
          <w:rFonts w:ascii="Arial" w:hAnsi="Arial" w:cs="Arial"/>
          <w:sz w:val="20"/>
          <w:szCs w:val="20"/>
          <w:lang w:eastAsia="zh-TW"/>
        </w:rPr>
      </w:pPr>
    </w:p>
    <w:p w14:paraId="61B45880" w14:textId="77777777" w:rsidR="00044A0D" w:rsidRPr="005B45BD" w:rsidRDefault="00DA5701" w:rsidP="004D1795">
      <w:pPr>
        <w:pStyle w:val="a5"/>
        <w:numPr>
          <w:ilvl w:val="0"/>
          <w:numId w:val="8"/>
        </w:numPr>
        <w:spacing w:after="0"/>
        <w:jc w:val="both"/>
        <w:rPr>
          <w:rFonts w:ascii="Arial" w:hAnsi="Arial" w:cs="Arial"/>
          <w:b/>
          <w:sz w:val="20"/>
          <w:szCs w:val="20"/>
          <w:lang w:eastAsia="zh-TW"/>
        </w:rPr>
      </w:pPr>
      <w:r w:rsidRPr="005B45BD">
        <w:rPr>
          <w:rFonts w:ascii="Arial" w:hAnsi="Arial" w:cs="Arial"/>
          <w:b/>
          <w:sz w:val="20"/>
          <w:szCs w:val="20"/>
          <w:lang w:eastAsia="zh-TW"/>
        </w:rPr>
        <w:t xml:space="preserve">Dealing restrictions </w:t>
      </w:r>
      <w:r w:rsidR="005B45BD">
        <w:rPr>
          <w:rFonts w:ascii="Arial" w:hAnsi="Arial" w:cs="Arial"/>
          <w:b/>
          <w:sz w:val="20"/>
          <w:szCs w:val="20"/>
          <w:lang w:eastAsia="zh-TW"/>
        </w:rPr>
        <w:t>for on E</w:t>
      </w:r>
      <w:r w:rsidRPr="005B45BD">
        <w:rPr>
          <w:rFonts w:ascii="Arial" w:hAnsi="Arial" w:cs="Arial"/>
          <w:b/>
          <w:sz w:val="20"/>
          <w:szCs w:val="20"/>
          <w:lang w:eastAsia="zh-TW"/>
        </w:rPr>
        <w:t xml:space="preserve">xchange </w:t>
      </w:r>
      <w:r w:rsidR="005B45BD">
        <w:rPr>
          <w:rFonts w:ascii="Arial" w:hAnsi="Arial" w:cs="Arial"/>
          <w:b/>
          <w:sz w:val="20"/>
          <w:szCs w:val="20"/>
          <w:lang w:eastAsia="zh-TW"/>
        </w:rPr>
        <w:t>treasury share resales</w:t>
      </w:r>
    </w:p>
    <w:p w14:paraId="5EB41372" w14:textId="77777777" w:rsidR="001F2613" w:rsidRPr="007470A8" w:rsidRDefault="001F2613" w:rsidP="004D1795">
      <w:pPr>
        <w:pStyle w:val="a5"/>
        <w:spacing w:after="0"/>
        <w:ind w:left="786"/>
        <w:jc w:val="both"/>
        <w:rPr>
          <w:rFonts w:ascii="Arial" w:hAnsi="Arial" w:cs="Arial"/>
          <w:sz w:val="20"/>
          <w:szCs w:val="20"/>
          <w:lang w:eastAsia="zh-TW"/>
        </w:rPr>
      </w:pPr>
    </w:p>
    <w:p w14:paraId="3D5ADA4D" w14:textId="77777777" w:rsidR="00F43861" w:rsidRPr="007470A8" w:rsidRDefault="00DA5701" w:rsidP="004D1795">
      <w:pPr>
        <w:pStyle w:val="a5"/>
        <w:spacing w:after="0"/>
        <w:ind w:left="786"/>
        <w:jc w:val="both"/>
        <w:rPr>
          <w:rFonts w:ascii="Arial" w:hAnsi="Arial" w:cs="Arial"/>
          <w:sz w:val="20"/>
          <w:szCs w:val="20"/>
          <w:lang w:eastAsia="zh-TW"/>
        </w:rPr>
      </w:pPr>
      <w:r w:rsidRPr="007470A8">
        <w:rPr>
          <w:rFonts w:ascii="Arial" w:hAnsi="Arial" w:cs="Arial"/>
          <w:sz w:val="20"/>
          <w:szCs w:val="20"/>
          <w:lang w:eastAsia="zh-TW"/>
        </w:rPr>
        <w:t xml:space="preserve">The following </w:t>
      </w:r>
      <w:r w:rsidR="001F2613" w:rsidRPr="007470A8">
        <w:rPr>
          <w:rFonts w:ascii="Arial" w:hAnsi="Arial" w:cs="Arial"/>
          <w:sz w:val="20"/>
          <w:szCs w:val="20"/>
          <w:lang w:eastAsia="zh-TW"/>
        </w:rPr>
        <w:t>dealing restriction</w:t>
      </w:r>
      <w:r w:rsidR="005B45BD">
        <w:rPr>
          <w:rFonts w:ascii="Arial" w:hAnsi="Arial" w:cs="Arial"/>
          <w:sz w:val="20"/>
          <w:szCs w:val="20"/>
          <w:lang w:eastAsia="zh-TW"/>
        </w:rPr>
        <w:t xml:space="preserve">s on on-market share repurchases and </w:t>
      </w:r>
      <w:r w:rsidR="001F2613" w:rsidRPr="007470A8">
        <w:rPr>
          <w:rFonts w:ascii="Arial" w:hAnsi="Arial" w:cs="Arial"/>
          <w:sz w:val="20"/>
          <w:szCs w:val="20"/>
          <w:lang w:eastAsia="zh-TW"/>
        </w:rPr>
        <w:t>on-market resale</w:t>
      </w:r>
      <w:r w:rsidR="005B45BD">
        <w:rPr>
          <w:rFonts w:ascii="Arial" w:hAnsi="Arial" w:cs="Arial"/>
          <w:sz w:val="20"/>
          <w:szCs w:val="20"/>
          <w:lang w:eastAsia="zh-TW"/>
        </w:rPr>
        <w:t>s</w:t>
      </w:r>
      <w:r w:rsidR="001F2613" w:rsidRPr="007470A8">
        <w:rPr>
          <w:rFonts w:ascii="Arial" w:hAnsi="Arial" w:cs="Arial"/>
          <w:sz w:val="20"/>
          <w:szCs w:val="20"/>
          <w:lang w:eastAsia="zh-TW"/>
        </w:rPr>
        <w:t xml:space="preserve"> of treasury shares</w:t>
      </w:r>
      <w:r w:rsidRPr="007470A8">
        <w:rPr>
          <w:rFonts w:ascii="Arial" w:hAnsi="Arial" w:cs="Arial"/>
          <w:sz w:val="20"/>
          <w:szCs w:val="20"/>
          <w:lang w:eastAsia="zh-TW"/>
        </w:rPr>
        <w:t xml:space="preserve"> will</w:t>
      </w:r>
      <w:r w:rsidR="005B45BD">
        <w:rPr>
          <w:rFonts w:ascii="Arial" w:hAnsi="Arial" w:cs="Arial"/>
          <w:sz w:val="20"/>
          <w:szCs w:val="20"/>
          <w:lang w:eastAsia="zh-TW"/>
        </w:rPr>
        <w:t xml:space="preserve"> apply</w:t>
      </w:r>
      <w:r w:rsidRPr="007470A8">
        <w:rPr>
          <w:rFonts w:ascii="Arial" w:hAnsi="Arial" w:cs="Arial"/>
          <w:sz w:val="20"/>
          <w:szCs w:val="20"/>
          <w:lang w:eastAsia="zh-TW"/>
        </w:rPr>
        <w:t xml:space="preserve">: </w:t>
      </w:r>
    </w:p>
    <w:p w14:paraId="6175864D" w14:textId="77777777" w:rsidR="00F43861" w:rsidRPr="007470A8" w:rsidRDefault="00F43861" w:rsidP="004D1795">
      <w:pPr>
        <w:pStyle w:val="a5"/>
        <w:spacing w:after="0"/>
        <w:ind w:left="786"/>
        <w:jc w:val="both"/>
        <w:rPr>
          <w:rFonts w:ascii="Arial" w:hAnsi="Arial" w:cs="Arial"/>
          <w:sz w:val="20"/>
          <w:szCs w:val="20"/>
          <w:lang w:eastAsia="zh-TW"/>
        </w:rPr>
      </w:pPr>
    </w:p>
    <w:tbl>
      <w:tblPr>
        <w:tblStyle w:val="a4"/>
        <w:tblW w:w="0" w:type="auto"/>
        <w:tblInd w:w="846" w:type="dxa"/>
        <w:tblLook w:val="04A0" w:firstRow="1" w:lastRow="0" w:firstColumn="1" w:lastColumn="0" w:noHBand="0" w:noVBand="1"/>
      </w:tblPr>
      <w:tblGrid>
        <w:gridCol w:w="2126"/>
        <w:gridCol w:w="6378"/>
      </w:tblGrid>
      <w:tr w:rsidR="00A33923" w:rsidRPr="007470A8" w14:paraId="4691E7DF" w14:textId="77777777" w:rsidTr="007470A8">
        <w:tc>
          <w:tcPr>
            <w:tcW w:w="2126" w:type="dxa"/>
            <w:shd w:val="clear" w:color="auto" w:fill="F2F2F2" w:themeFill="background1" w:themeFillShade="F2"/>
          </w:tcPr>
          <w:p w14:paraId="74AE1900" w14:textId="77777777" w:rsidR="00F43861" w:rsidRPr="005B45BD" w:rsidRDefault="00DA5701" w:rsidP="00331BC8">
            <w:pPr>
              <w:pStyle w:val="a5"/>
              <w:ind w:left="0"/>
              <w:jc w:val="both"/>
              <w:rPr>
                <w:rFonts w:ascii="Arial" w:hAnsi="Arial" w:cs="Arial"/>
                <w:b/>
                <w:sz w:val="20"/>
                <w:szCs w:val="20"/>
                <w:lang w:eastAsia="zh-TW"/>
              </w:rPr>
            </w:pPr>
            <w:r w:rsidRPr="005B45BD">
              <w:rPr>
                <w:rFonts w:ascii="Arial" w:hAnsi="Arial" w:cs="Arial"/>
                <w:b/>
                <w:sz w:val="20"/>
                <w:szCs w:val="20"/>
                <w:lang w:eastAsia="zh-TW"/>
              </w:rPr>
              <w:t>Relevant Rules or requirements</w:t>
            </w:r>
          </w:p>
          <w:p w14:paraId="56021DD1" w14:textId="77777777" w:rsidR="007470A8" w:rsidRPr="007470A8" w:rsidRDefault="007470A8" w:rsidP="00331BC8">
            <w:pPr>
              <w:pStyle w:val="a5"/>
              <w:ind w:left="0"/>
              <w:jc w:val="both"/>
              <w:rPr>
                <w:rFonts w:ascii="Arial" w:hAnsi="Arial" w:cs="Arial"/>
                <w:sz w:val="20"/>
                <w:szCs w:val="20"/>
                <w:lang w:eastAsia="zh-TW"/>
              </w:rPr>
            </w:pPr>
          </w:p>
        </w:tc>
        <w:tc>
          <w:tcPr>
            <w:tcW w:w="6378" w:type="dxa"/>
            <w:shd w:val="clear" w:color="auto" w:fill="F2F2F2" w:themeFill="background1" w:themeFillShade="F2"/>
          </w:tcPr>
          <w:p w14:paraId="2A3ECED7" w14:textId="77777777" w:rsidR="00F43861" w:rsidRPr="005B45BD" w:rsidRDefault="005B45BD" w:rsidP="005B45BD">
            <w:pPr>
              <w:pStyle w:val="a5"/>
              <w:ind w:left="0"/>
              <w:jc w:val="center"/>
              <w:rPr>
                <w:rFonts w:ascii="Arial" w:hAnsi="Arial" w:cs="Arial"/>
                <w:b/>
                <w:sz w:val="20"/>
                <w:szCs w:val="20"/>
                <w:lang w:eastAsia="zh-TW"/>
              </w:rPr>
            </w:pPr>
            <w:r w:rsidRPr="005B45BD">
              <w:rPr>
                <w:rFonts w:ascii="Arial" w:hAnsi="Arial" w:cs="Arial"/>
                <w:b/>
                <w:sz w:val="20"/>
                <w:szCs w:val="20"/>
                <w:lang w:eastAsia="zh-TW"/>
              </w:rPr>
              <w:t xml:space="preserve">Listing Rule </w:t>
            </w:r>
            <w:r w:rsidR="00DA5701" w:rsidRPr="005B45BD">
              <w:rPr>
                <w:rFonts w:ascii="Arial" w:hAnsi="Arial" w:cs="Arial"/>
                <w:b/>
                <w:sz w:val="20"/>
                <w:szCs w:val="20"/>
                <w:lang w:eastAsia="zh-TW"/>
              </w:rPr>
              <w:t>Amendments</w:t>
            </w:r>
          </w:p>
        </w:tc>
      </w:tr>
      <w:tr w:rsidR="00A33923" w:rsidRPr="007470A8" w14:paraId="4446EDE6" w14:textId="77777777" w:rsidTr="007470A8">
        <w:tc>
          <w:tcPr>
            <w:tcW w:w="2126" w:type="dxa"/>
          </w:tcPr>
          <w:p w14:paraId="667920B7" w14:textId="77777777" w:rsidR="005B45BD" w:rsidRDefault="005B45BD" w:rsidP="00331BC8">
            <w:pPr>
              <w:pStyle w:val="a5"/>
              <w:ind w:left="0"/>
              <w:jc w:val="both"/>
              <w:rPr>
                <w:rFonts w:ascii="Arial" w:hAnsi="Arial" w:cs="Arial"/>
                <w:sz w:val="20"/>
                <w:szCs w:val="20"/>
              </w:rPr>
            </w:pPr>
          </w:p>
          <w:p w14:paraId="4FE8E9FE" w14:textId="77777777" w:rsidR="00F43861" w:rsidRPr="007470A8" w:rsidRDefault="00DA5701" w:rsidP="00331BC8">
            <w:pPr>
              <w:pStyle w:val="a5"/>
              <w:ind w:left="0"/>
              <w:jc w:val="both"/>
              <w:rPr>
                <w:rFonts w:ascii="Arial" w:hAnsi="Arial" w:cs="Arial"/>
                <w:sz w:val="20"/>
                <w:szCs w:val="20"/>
                <w:lang w:eastAsia="zh-TW"/>
              </w:rPr>
            </w:pPr>
            <w:r w:rsidRPr="007470A8">
              <w:rPr>
                <w:rFonts w:ascii="Arial" w:hAnsi="Arial" w:cs="Arial"/>
                <w:sz w:val="20"/>
                <w:szCs w:val="20"/>
              </w:rPr>
              <w:t>MB Rules 10.06(2)(e) and 10.06A</w:t>
            </w:r>
            <w:r w:rsidRPr="007470A8">
              <w:rPr>
                <w:rStyle w:val="a8"/>
                <w:rFonts w:ascii="Arial" w:hAnsi="Arial" w:cs="Arial"/>
                <w:sz w:val="20"/>
                <w:szCs w:val="20"/>
                <w:lang w:eastAsia="zh-TW"/>
              </w:rPr>
              <w:footnoteReference w:id="15"/>
            </w:r>
          </w:p>
        </w:tc>
        <w:tc>
          <w:tcPr>
            <w:tcW w:w="6378" w:type="dxa"/>
          </w:tcPr>
          <w:p w14:paraId="35658320" w14:textId="77777777" w:rsidR="005B45BD" w:rsidRDefault="005B45BD" w:rsidP="004D1795">
            <w:pPr>
              <w:jc w:val="both"/>
              <w:rPr>
                <w:rFonts w:ascii="Arial" w:hAnsi="Arial" w:cs="Arial"/>
                <w:sz w:val="20"/>
                <w:szCs w:val="20"/>
              </w:rPr>
            </w:pPr>
          </w:p>
          <w:p w14:paraId="126431E7" w14:textId="77777777" w:rsidR="00F43861" w:rsidRDefault="00DA5701" w:rsidP="004D1795">
            <w:pPr>
              <w:jc w:val="both"/>
              <w:rPr>
                <w:rFonts w:ascii="Arial" w:hAnsi="Arial" w:cs="Arial"/>
                <w:sz w:val="20"/>
                <w:szCs w:val="20"/>
                <w:lang w:eastAsia="zh-TW"/>
              </w:rPr>
            </w:pPr>
            <w:r w:rsidRPr="007470A8">
              <w:rPr>
                <w:rFonts w:ascii="Arial" w:hAnsi="Arial" w:cs="Arial"/>
                <w:sz w:val="20"/>
                <w:szCs w:val="20"/>
              </w:rPr>
              <w:t xml:space="preserve">The </w:t>
            </w:r>
            <w:r w:rsidRPr="007470A8">
              <w:rPr>
                <w:rFonts w:ascii="Arial" w:hAnsi="Arial" w:cs="Arial"/>
                <w:sz w:val="20"/>
                <w:szCs w:val="20"/>
                <w:lang w:eastAsia="zh-TW"/>
              </w:rPr>
              <w:t>restriction on share repurchases</w:t>
            </w:r>
            <w:r w:rsidR="005B45BD">
              <w:rPr>
                <w:rFonts w:ascii="Arial" w:hAnsi="Arial" w:cs="Arial"/>
                <w:sz w:val="20"/>
                <w:szCs w:val="20"/>
                <w:lang w:eastAsia="zh-TW"/>
              </w:rPr>
              <w:t xml:space="preserve"> </w:t>
            </w:r>
            <w:r w:rsidRPr="007470A8">
              <w:rPr>
                <w:rFonts w:ascii="Arial" w:hAnsi="Arial" w:cs="Arial"/>
                <w:sz w:val="20"/>
                <w:szCs w:val="20"/>
                <w:lang w:eastAsia="zh-TW"/>
              </w:rPr>
              <w:t xml:space="preserve">when there is undisclosed inside information or during the 30-day period preceding any results announcement, will also apply to resales of treasury shares. </w:t>
            </w:r>
          </w:p>
          <w:p w14:paraId="28DB2524" w14:textId="77777777" w:rsidR="005B45BD" w:rsidRPr="007470A8" w:rsidRDefault="005B45BD" w:rsidP="004D1795">
            <w:pPr>
              <w:jc w:val="both"/>
              <w:rPr>
                <w:rFonts w:ascii="Arial" w:hAnsi="Arial" w:cs="Arial"/>
                <w:sz w:val="20"/>
                <w:szCs w:val="20"/>
                <w:lang w:eastAsia="zh-TW"/>
              </w:rPr>
            </w:pPr>
          </w:p>
          <w:p w14:paraId="7A2C8EB8" w14:textId="77777777" w:rsidR="00F43861" w:rsidRPr="007470A8" w:rsidRDefault="00DA5701" w:rsidP="001E2257">
            <w:pPr>
              <w:pStyle w:val="a5"/>
              <w:numPr>
                <w:ilvl w:val="0"/>
                <w:numId w:val="16"/>
              </w:numPr>
              <w:ind w:left="606"/>
              <w:jc w:val="both"/>
              <w:rPr>
                <w:rFonts w:ascii="Arial" w:hAnsi="Arial" w:cs="Arial"/>
                <w:sz w:val="20"/>
                <w:szCs w:val="20"/>
                <w:lang w:eastAsia="zh-TW"/>
              </w:rPr>
            </w:pPr>
            <w:r w:rsidRPr="007470A8">
              <w:rPr>
                <w:rFonts w:ascii="Arial" w:hAnsi="Arial" w:cs="Arial"/>
                <w:sz w:val="20"/>
                <w:szCs w:val="20"/>
                <w:lang w:eastAsia="zh-TW"/>
              </w:rPr>
              <w:t>The original proposal for the</w:t>
            </w:r>
            <w:r w:rsidR="005B45BD">
              <w:rPr>
                <w:rFonts w:ascii="Arial" w:hAnsi="Arial" w:cs="Arial"/>
                <w:sz w:val="20"/>
                <w:szCs w:val="20"/>
                <w:lang w:eastAsia="zh-TW"/>
              </w:rPr>
              <w:t xml:space="preserve"> restriction period to be set at</w:t>
            </w:r>
            <w:r w:rsidRPr="007470A8">
              <w:rPr>
                <w:rFonts w:ascii="Arial" w:hAnsi="Arial" w:cs="Arial"/>
                <w:sz w:val="20"/>
                <w:szCs w:val="20"/>
                <w:lang w:eastAsia="zh-TW"/>
              </w:rPr>
              <w:t xml:space="preserve"> one month prior to any results announcement </w:t>
            </w:r>
            <w:r w:rsidR="005B45BD">
              <w:rPr>
                <w:rFonts w:ascii="Arial" w:hAnsi="Arial" w:cs="Arial"/>
                <w:sz w:val="20"/>
                <w:szCs w:val="20"/>
                <w:lang w:eastAsia="zh-TW"/>
              </w:rPr>
              <w:t xml:space="preserve">has </w:t>
            </w:r>
            <w:r w:rsidRPr="007470A8">
              <w:rPr>
                <w:rFonts w:ascii="Arial" w:hAnsi="Arial" w:cs="Arial"/>
                <w:sz w:val="20"/>
                <w:szCs w:val="20"/>
                <w:lang w:eastAsia="zh-TW"/>
              </w:rPr>
              <w:t>be</w:t>
            </w:r>
            <w:r w:rsidR="005B45BD">
              <w:rPr>
                <w:rFonts w:ascii="Arial" w:hAnsi="Arial" w:cs="Arial"/>
                <w:sz w:val="20"/>
                <w:szCs w:val="20"/>
                <w:lang w:eastAsia="zh-TW"/>
              </w:rPr>
              <w:t>en</w:t>
            </w:r>
            <w:r w:rsidRPr="007470A8">
              <w:rPr>
                <w:rFonts w:ascii="Arial" w:hAnsi="Arial" w:cs="Arial"/>
                <w:sz w:val="20"/>
                <w:szCs w:val="20"/>
                <w:lang w:eastAsia="zh-TW"/>
              </w:rPr>
              <w:t xml:space="preserve"> amended to 30 days to ensure that the same restriction period applies to all listed companies regardless of their financial year-end. </w:t>
            </w:r>
          </w:p>
          <w:p w14:paraId="1A6C3556" w14:textId="77777777" w:rsidR="00F43861" w:rsidRPr="007470A8" w:rsidRDefault="00F43861" w:rsidP="00331BC8">
            <w:pPr>
              <w:pStyle w:val="a5"/>
              <w:jc w:val="both"/>
              <w:rPr>
                <w:rFonts w:ascii="Arial" w:hAnsi="Arial" w:cs="Arial"/>
                <w:sz w:val="20"/>
                <w:szCs w:val="20"/>
                <w:lang w:eastAsia="zh-TW"/>
              </w:rPr>
            </w:pPr>
          </w:p>
        </w:tc>
      </w:tr>
      <w:tr w:rsidR="00A33923" w:rsidRPr="007470A8" w14:paraId="7512701B" w14:textId="77777777" w:rsidTr="007470A8">
        <w:tc>
          <w:tcPr>
            <w:tcW w:w="2126" w:type="dxa"/>
          </w:tcPr>
          <w:p w14:paraId="7021593C" w14:textId="77777777" w:rsidR="005B45BD" w:rsidRDefault="005B45BD" w:rsidP="00331BC8">
            <w:pPr>
              <w:pStyle w:val="a5"/>
              <w:ind w:left="0"/>
              <w:rPr>
                <w:rFonts w:ascii="Arial" w:hAnsi="Arial" w:cs="Arial"/>
                <w:sz w:val="20"/>
                <w:szCs w:val="20"/>
              </w:rPr>
            </w:pPr>
          </w:p>
          <w:p w14:paraId="4A6933FB" w14:textId="77777777" w:rsidR="00F43861" w:rsidRPr="007470A8" w:rsidRDefault="00DA5701" w:rsidP="00331BC8">
            <w:pPr>
              <w:pStyle w:val="a5"/>
              <w:ind w:left="0"/>
              <w:rPr>
                <w:rFonts w:ascii="Arial" w:hAnsi="Arial" w:cs="Arial"/>
                <w:sz w:val="20"/>
                <w:szCs w:val="20"/>
                <w:lang w:eastAsia="zh-TW"/>
              </w:rPr>
            </w:pPr>
            <w:r w:rsidRPr="007470A8">
              <w:rPr>
                <w:rFonts w:ascii="Arial" w:hAnsi="Arial" w:cs="Arial"/>
                <w:sz w:val="20"/>
                <w:szCs w:val="20"/>
              </w:rPr>
              <w:t>MB Rule 10.06A</w:t>
            </w:r>
            <w:r w:rsidRPr="007470A8">
              <w:rPr>
                <w:rStyle w:val="a8"/>
                <w:rFonts w:ascii="Arial" w:hAnsi="Arial" w:cs="Arial"/>
                <w:sz w:val="20"/>
                <w:szCs w:val="20"/>
                <w:lang w:eastAsia="zh-TW"/>
              </w:rPr>
              <w:footnoteReference w:id="16"/>
            </w:r>
          </w:p>
          <w:p w14:paraId="40FBEE4A" w14:textId="77777777" w:rsidR="00F43861" w:rsidRPr="007470A8" w:rsidRDefault="00F43861" w:rsidP="00331BC8">
            <w:pPr>
              <w:pStyle w:val="a5"/>
              <w:ind w:left="0"/>
              <w:rPr>
                <w:rFonts w:ascii="Arial" w:hAnsi="Arial" w:cs="Arial"/>
                <w:sz w:val="20"/>
                <w:szCs w:val="20"/>
                <w:lang w:eastAsia="zh-TW"/>
              </w:rPr>
            </w:pPr>
          </w:p>
        </w:tc>
        <w:tc>
          <w:tcPr>
            <w:tcW w:w="6378" w:type="dxa"/>
          </w:tcPr>
          <w:p w14:paraId="1BF15903" w14:textId="77777777" w:rsidR="005B45BD" w:rsidRDefault="005B45BD" w:rsidP="004D1795">
            <w:pPr>
              <w:jc w:val="both"/>
              <w:rPr>
                <w:rFonts w:ascii="Arial" w:hAnsi="Arial" w:cs="Arial"/>
                <w:sz w:val="20"/>
                <w:szCs w:val="20"/>
                <w:lang w:eastAsia="zh-TW"/>
              </w:rPr>
            </w:pPr>
          </w:p>
          <w:p w14:paraId="14F0908C" w14:textId="77777777" w:rsidR="00F43861" w:rsidRPr="007470A8" w:rsidRDefault="00DA5701" w:rsidP="004D1795">
            <w:pPr>
              <w:jc w:val="both"/>
              <w:rPr>
                <w:rFonts w:ascii="Arial" w:hAnsi="Arial" w:cs="Arial"/>
                <w:sz w:val="20"/>
                <w:szCs w:val="20"/>
                <w:lang w:eastAsia="zh-TW"/>
              </w:rPr>
            </w:pPr>
            <w:r w:rsidRPr="007470A8">
              <w:rPr>
                <w:rFonts w:ascii="Arial" w:hAnsi="Arial" w:cs="Arial"/>
                <w:sz w:val="20"/>
                <w:szCs w:val="20"/>
                <w:lang w:eastAsia="zh-TW"/>
              </w:rPr>
              <w:t>Brokers appointed to effect the resale of treasury shares must inform the HKEX of the resale of treasury shares</w:t>
            </w:r>
            <w:r w:rsidR="005B45BD">
              <w:rPr>
                <w:rFonts w:ascii="Arial" w:hAnsi="Arial" w:cs="Arial"/>
                <w:sz w:val="20"/>
                <w:szCs w:val="20"/>
                <w:lang w:eastAsia="zh-TW"/>
              </w:rPr>
              <w:t>.</w:t>
            </w:r>
            <w:r w:rsidRPr="007470A8">
              <w:rPr>
                <w:rFonts w:ascii="Arial" w:hAnsi="Arial" w:cs="Arial"/>
                <w:sz w:val="20"/>
                <w:szCs w:val="20"/>
                <w:lang w:eastAsia="zh-TW"/>
              </w:rPr>
              <w:t xml:space="preserve"> </w:t>
            </w:r>
          </w:p>
          <w:p w14:paraId="6BE61722" w14:textId="77777777" w:rsidR="00F43861" w:rsidRPr="007470A8" w:rsidRDefault="00F43861" w:rsidP="00331BC8">
            <w:pPr>
              <w:pStyle w:val="a5"/>
              <w:ind w:left="0"/>
              <w:jc w:val="both"/>
              <w:rPr>
                <w:rFonts w:ascii="Arial" w:hAnsi="Arial" w:cs="Arial"/>
                <w:sz w:val="20"/>
                <w:szCs w:val="20"/>
                <w:lang w:eastAsia="zh-TW"/>
              </w:rPr>
            </w:pPr>
          </w:p>
        </w:tc>
      </w:tr>
      <w:tr w:rsidR="00A33923" w:rsidRPr="007470A8" w14:paraId="7A964448" w14:textId="77777777" w:rsidTr="007470A8">
        <w:tc>
          <w:tcPr>
            <w:tcW w:w="2126" w:type="dxa"/>
          </w:tcPr>
          <w:p w14:paraId="5F63A648" w14:textId="77777777" w:rsidR="005B45BD" w:rsidRDefault="005B45BD" w:rsidP="004D1795">
            <w:pPr>
              <w:pStyle w:val="a5"/>
              <w:ind w:left="0"/>
              <w:rPr>
                <w:rFonts w:ascii="Arial" w:hAnsi="Arial" w:cs="Arial"/>
                <w:sz w:val="20"/>
                <w:szCs w:val="20"/>
              </w:rPr>
            </w:pPr>
          </w:p>
          <w:p w14:paraId="0CEEF658" w14:textId="77777777" w:rsidR="00F43861" w:rsidRPr="007470A8" w:rsidRDefault="00DA5701" w:rsidP="004D1795">
            <w:pPr>
              <w:pStyle w:val="a5"/>
              <w:ind w:left="0"/>
              <w:rPr>
                <w:rFonts w:ascii="Arial" w:hAnsi="Arial" w:cs="Arial"/>
                <w:sz w:val="20"/>
                <w:szCs w:val="20"/>
                <w:lang w:eastAsia="zh-TW"/>
              </w:rPr>
            </w:pPr>
            <w:r w:rsidRPr="007470A8">
              <w:rPr>
                <w:rFonts w:ascii="Arial" w:hAnsi="Arial" w:cs="Arial"/>
                <w:sz w:val="20"/>
                <w:szCs w:val="20"/>
              </w:rPr>
              <w:t>MB Rules 14A.73(3), 14A.92B and Note 1 to Rule 13.36(2)(b)</w:t>
            </w:r>
            <w:r w:rsidRPr="007470A8">
              <w:rPr>
                <w:rStyle w:val="a8"/>
                <w:rFonts w:ascii="Arial" w:hAnsi="Arial" w:cs="Arial"/>
                <w:sz w:val="20"/>
                <w:szCs w:val="20"/>
              </w:rPr>
              <w:footnoteReference w:id="17"/>
            </w:r>
          </w:p>
        </w:tc>
        <w:tc>
          <w:tcPr>
            <w:tcW w:w="6378" w:type="dxa"/>
          </w:tcPr>
          <w:p w14:paraId="466D4DCF" w14:textId="77777777" w:rsidR="005B45BD" w:rsidRDefault="005B45BD" w:rsidP="00331BC8">
            <w:pPr>
              <w:pStyle w:val="a5"/>
              <w:ind w:left="0"/>
              <w:jc w:val="both"/>
              <w:rPr>
                <w:rFonts w:ascii="Arial" w:hAnsi="Arial" w:cs="Arial"/>
                <w:sz w:val="20"/>
                <w:szCs w:val="20"/>
                <w:lang w:eastAsia="zh-TW"/>
              </w:rPr>
            </w:pPr>
          </w:p>
          <w:p w14:paraId="6A4ECEBF" w14:textId="77777777" w:rsidR="00F43861" w:rsidRDefault="005B45BD" w:rsidP="00331BC8">
            <w:pPr>
              <w:pStyle w:val="a5"/>
              <w:ind w:left="0"/>
              <w:jc w:val="both"/>
              <w:rPr>
                <w:rFonts w:ascii="Arial" w:hAnsi="Arial" w:cs="Arial"/>
                <w:sz w:val="20"/>
                <w:szCs w:val="20"/>
                <w:lang w:eastAsia="zh-TW"/>
              </w:rPr>
            </w:pPr>
            <w:r>
              <w:rPr>
                <w:rFonts w:ascii="Arial" w:hAnsi="Arial" w:cs="Arial"/>
                <w:sz w:val="20"/>
                <w:szCs w:val="20"/>
                <w:lang w:eastAsia="zh-TW"/>
              </w:rPr>
              <w:t>U</w:t>
            </w:r>
            <w:r w:rsidR="00DA5701" w:rsidRPr="007470A8">
              <w:rPr>
                <w:rFonts w:ascii="Arial" w:hAnsi="Arial" w:cs="Arial"/>
                <w:sz w:val="20"/>
                <w:szCs w:val="20"/>
                <w:lang w:eastAsia="zh-TW"/>
              </w:rPr>
              <w:t xml:space="preserve">nder </w:t>
            </w:r>
            <w:r w:rsidR="007458D1">
              <w:rPr>
                <w:rFonts w:ascii="Arial" w:hAnsi="Arial" w:cs="Arial"/>
                <w:sz w:val="20"/>
                <w:szCs w:val="20"/>
              </w:rPr>
              <w:t>MB</w:t>
            </w:r>
            <w:r w:rsidR="007458D1" w:rsidRPr="007470A8">
              <w:rPr>
                <w:rFonts w:ascii="Arial" w:hAnsi="Arial" w:cs="Arial"/>
                <w:sz w:val="20"/>
                <w:szCs w:val="20"/>
                <w:lang w:eastAsia="zh-TW"/>
              </w:rPr>
              <w:t xml:space="preserve"> </w:t>
            </w:r>
            <w:r w:rsidR="007458D1">
              <w:rPr>
                <w:rFonts w:ascii="Arial" w:hAnsi="Arial" w:cs="Arial"/>
                <w:sz w:val="20"/>
                <w:szCs w:val="20"/>
                <w:lang w:eastAsia="zh-TW"/>
              </w:rPr>
              <w:t xml:space="preserve">Chapter </w:t>
            </w:r>
            <w:r w:rsidR="00DA5701" w:rsidRPr="007470A8">
              <w:rPr>
                <w:rFonts w:ascii="Arial" w:hAnsi="Arial" w:cs="Arial"/>
                <w:sz w:val="20"/>
                <w:szCs w:val="20"/>
                <w:lang w:eastAsia="zh-TW"/>
              </w:rPr>
              <w:t>14</w:t>
            </w:r>
            <w:r w:rsidR="00DA5701" w:rsidRPr="007470A8">
              <w:rPr>
                <w:rFonts w:ascii="Arial" w:hAnsi="Arial" w:cs="Arial"/>
                <w:sz w:val="20"/>
                <w:szCs w:val="20"/>
              </w:rPr>
              <w:t>A</w:t>
            </w:r>
            <w:r w:rsidR="007458D1">
              <w:rPr>
                <w:rFonts w:ascii="Arial" w:hAnsi="Arial" w:cs="Arial"/>
                <w:sz w:val="20"/>
                <w:szCs w:val="20"/>
                <w:lang w:eastAsia="zh-TW"/>
              </w:rPr>
              <w:t xml:space="preserve">, </w:t>
            </w:r>
            <w:r>
              <w:rPr>
                <w:rFonts w:ascii="Arial" w:hAnsi="Arial" w:cs="Arial"/>
                <w:sz w:val="20"/>
                <w:szCs w:val="20"/>
                <w:lang w:eastAsia="zh-TW"/>
              </w:rPr>
              <w:t xml:space="preserve">an </w:t>
            </w:r>
            <w:r w:rsidR="00B553CB" w:rsidRPr="007470A8">
              <w:rPr>
                <w:rFonts w:ascii="Arial" w:hAnsi="Arial" w:cs="Arial"/>
                <w:sz w:val="20"/>
                <w:szCs w:val="20"/>
              </w:rPr>
              <w:t>on-market</w:t>
            </w:r>
            <w:r w:rsidR="00B553CB" w:rsidRPr="007470A8">
              <w:rPr>
                <w:rFonts w:ascii="Arial" w:hAnsi="Arial" w:cs="Arial"/>
                <w:sz w:val="20"/>
                <w:szCs w:val="20"/>
                <w:lang w:eastAsia="zh-TW"/>
              </w:rPr>
              <w:t xml:space="preserve"> resale of treasury shares to a connected person is </w:t>
            </w:r>
            <w:r w:rsidR="00C7712F">
              <w:rPr>
                <w:rFonts w:ascii="Arial" w:hAnsi="Arial" w:cs="Arial"/>
                <w:sz w:val="20"/>
                <w:szCs w:val="20"/>
                <w:lang w:eastAsia="zh-TW"/>
              </w:rPr>
              <w:t xml:space="preserve">fully exempt from the connected transaction requirements </w:t>
            </w:r>
            <w:r w:rsidR="00B553CB" w:rsidRPr="007470A8">
              <w:rPr>
                <w:rFonts w:ascii="Arial" w:hAnsi="Arial" w:cs="Arial"/>
                <w:sz w:val="20"/>
                <w:szCs w:val="20"/>
                <w:lang w:eastAsia="zh-TW"/>
              </w:rPr>
              <w:t xml:space="preserve">if the connected person </w:t>
            </w:r>
            <w:r w:rsidR="00C7712F">
              <w:rPr>
                <w:rFonts w:ascii="Arial" w:hAnsi="Arial" w:cs="Arial"/>
                <w:sz w:val="20"/>
                <w:szCs w:val="20"/>
                <w:lang w:eastAsia="zh-TW"/>
              </w:rPr>
              <w:t xml:space="preserve">does not </w:t>
            </w:r>
            <w:r w:rsidR="00B553CB" w:rsidRPr="007470A8">
              <w:rPr>
                <w:rFonts w:ascii="Arial" w:hAnsi="Arial" w:cs="Arial"/>
                <w:sz w:val="20"/>
                <w:szCs w:val="20"/>
                <w:lang w:eastAsia="zh-TW"/>
              </w:rPr>
              <w:t>know</w:t>
            </w:r>
            <w:r w:rsidR="00C7712F">
              <w:rPr>
                <w:rFonts w:ascii="Arial" w:hAnsi="Arial" w:cs="Arial"/>
                <w:sz w:val="20"/>
                <w:szCs w:val="20"/>
                <w:lang w:eastAsia="zh-TW"/>
              </w:rPr>
              <w:t xml:space="preserve"> that they are buying from the listed company</w:t>
            </w:r>
            <w:r w:rsidR="00787284" w:rsidRPr="007470A8">
              <w:rPr>
                <w:rFonts w:ascii="Arial" w:hAnsi="Arial" w:cs="Arial"/>
                <w:sz w:val="20"/>
                <w:szCs w:val="20"/>
                <w:lang w:eastAsia="zh-TW"/>
              </w:rPr>
              <w:t xml:space="preserve">. </w:t>
            </w:r>
          </w:p>
          <w:p w14:paraId="6C5E5957" w14:textId="77777777" w:rsidR="00CA5F05" w:rsidRPr="007470A8" w:rsidRDefault="00CA5F05" w:rsidP="00331BC8">
            <w:pPr>
              <w:pStyle w:val="a5"/>
              <w:ind w:left="0"/>
              <w:jc w:val="both"/>
              <w:rPr>
                <w:rFonts w:ascii="Arial" w:hAnsi="Arial" w:cs="Arial"/>
                <w:sz w:val="20"/>
                <w:szCs w:val="20"/>
                <w:lang w:eastAsia="zh-TW"/>
              </w:rPr>
            </w:pPr>
          </w:p>
        </w:tc>
      </w:tr>
    </w:tbl>
    <w:p w14:paraId="63F9430D" w14:textId="77777777" w:rsidR="00A00502" w:rsidRPr="001E2257" w:rsidRDefault="00A00502" w:rsidP="001E2257">
      <w:pPr>
        <w:spacing w:after="0"/>
        <w:jc w:val="both"/>
        <w:rPr>
          <w:rFonts w:ascii="Arial" w:hAnsi="Arial" w:cs="Arial"/>
          <w:sz w:val="20"/>
          <w:szCs w:val="20"/>
          <w:lang w:eastAsia="zh-TW"/>
        </w:rPr>
      </w:pPr>
    </w:p>
    <w:p w14:paraId="6C8E2FB3" w14:textId="77777777" w:rsidR="001F2613" w:rsidRPr="00C7712F" w:rsidRDefault="00DA5701" w:rsidP="004D1795">
      <w:pPr>
        <w:pStyle w:val="a5"/>
        <w:numPr>
          <w:ilvl w:val="0"/>
          <w:numId w:val="8"/>
        </w:numPr>
        <w:spacing w:after="0"/>
        <w:jc w:val="both"/>
        <w:rPr>
          <w:rFonts w:ascii="Arial" w:hAnsi="Arial" w:cs="Arial"/>
          <w:b/>
          <w:sz w:val="20"/>
          <w:szCs w:val="20"/>
          <w:lang w:eastAsia="zh-TW"/>
        </w:rPr>
      </w:pPr>
      <w:r w:rsidRPr="00C7712F">
        <w:rPr>
          <w:rFonts w:ascii="Arial" w:hAnsi="Arial" w:cs="Arial"/>
          <w:b/>
          <w:sz w:val="20"/>
          <w:szCs w:val="20"/>
          <w:lang w:eastAsia="zh-TW"/>
        </w:rPr>
        <w:t xml:space="preserve">Other proposals </w:t>
      </w:r>
      <w:r w:rsidR="00C7712F">
        <w:rPr>
          <w:rFonts w:ascii="Arial" w:hAnsi="Arial" w:cs="Arial"/>
          <w:b/>
          <w:sz w:val="20"/>
          <w:szCs w:val="20"/>
          <w:lang w:eastAsia="zh-TW"/>
        </w:rPr>
        <w:t xml:space="preserve">for </w:t>
      </w:r>
      <w:r w:rsidRPr="00C7712F">
        <w:rPr>
          <w:rFonts w:ascii="Arial" w:hAnsi="Arial" w:cs="Arial"/>
          <w:b/>
          <w:sz w:val="20"/>
          <w:szCs w:val="20"/>
          <w:lang w:eastAsia="zh-TW"/>
        </w:rPr>
        <w:t xml:space="preserve">on-market resale </w:t>
      </w:r>
    </w:p>
    <w:p w14:paraId="25C8C809" w14:textId="77777777" w:rsidR="00A00502" w:rsidRPr="007470A8" w:rsidRDefault="00A00502" w:rsidP="004D1795">
      <w:pPr>
        <w:pStyle w:val="a5"/>
        <w:spacing w:after="0"/>
        <w:ind w:left="786"/>
        <w:jc w:val="both"/>
        <w:rPr>
          <w:rFonts w:ascii="Arial" w:hAnsi="Arial" w:cs="Arial"/>
          <w:sz w:val="20"/>
          <w:szCs w:val="20"/>
          <w:lang w:eastAsia="zh-TW"/>
        </w:rPr>
      </w:pPr>
    </w:p>
    <w:p w14:paraId="22AECB3A" w14:textId="77777777" w:rsidR="00EE474B" w:rsidRPr="007470A8" w:rsidRDefault="00DA5701" w:rsidP="004D1795">
      <w:pPr>
        <w:pStyle w:val="a5"/>
        <w:spacing w:after="0"/>
        <w:ind w:left="786"/>
        <w:jc w:val="both"/>
        <w:rPr>
          <w:rFonts w:ascii="Arial" w:hAnsi="Arial" w:cs="Arial"/>
          <w:sz w:val="20"/>
          <w:szCs w:val="20"/>
          <w:lang w:eastAsia="zh-TW"/>
        </w:rPr>
      </w:pPr>
      <w:r w:rsidRPr="007470A8">
        <w:rPr>
          <w:rFonts w:ascii="Arial" w:hAnsi="Arial" w:cs="Arial"/>
          <w:sz w:val="20"/>
          <w:szCs w:val="20"/>
          <w:lang w:eastAsia="zh-TW"/>
        </w:rPr>
        <w:t>The disclosure and documentary requirements for resale of treasury shares also apply to on-market resales. In particular, the next day return should include key information and separate announcements would be required if the size of the resa</w:t>
      </w:r>
      <w:r w:rsidR="00C7712F">
        <w:rPr>
          <w:rFonts w:ascii="Arial" w:hAnsi="Arial" w:cs="Arial"/>
          <w:sz w:val="20"/>
          <w:szCs w:val="20"/>
          <w:lang w:eastAsia="zh-TW"/>
        </w:rPr>
        <w:t>le</w:t>
      </w:r>
      <w:r w:rsidRPr="007470A8">
        <w:rPr>
          <w:rFonts w:ascii="Arial" w:hAnsi="Arial" w:cs="Arial"/>
          <w:sz w:val="20"/>
          <w:szCs w:val="20"/>
          <w:lang w:eastAsia="zh-TW"/>
        </w:rPr>
        <w:t xml:space="preserve"> exceeds the thresh</w:t>
      </w:r>
      <w:r w:rsidR="00C7712F">
        <w:rPr>
          <w:rFonts w:ascii="Arial" w:hAnsi="Arial" w:cs="Arial"/>
          <w:sz w:val="20"/>
          <w:szCs w:val="20"/>
          <w:lang w:eastAsia="zh-TW"/>
        </w:rPr>
        <w:t>old of 5% of the listed company’</w:t>
      </w:r>
      <w:r w:rsidRPr="007470A8">
        <w:rPr>
          <w:rFonts w:ascii="Arial" w:hAnsi="Arial" w:cs="Arial"/>
          <w:sz w:val="20"/>
          <w:szCs w:val="20"/>
          <w:lang w:eastAsia="zh-TW"/>
        </w:rPr>
        <w:t xml:space="preserve">s shares. This requirement is subject to the exception that no announcement is required under </w:t>
      </w:r>
      <w:r w:rsidR="007458D1">
        <w:rPr>
          <w:rFonts w:ascii="Arial" w:hAnsi="Arial" w:cs="Arial"/>
          <w:sz w:val="20"/>
          <w:szCs w:val="20"/>
        </w:rPr>
        <w:t>MB</w:t>
      </w:r>
      <w:r w:rsidR="007458D1" w:rsidRPr="007470A8">
        <w:rPr>
          <w:rFonts w:ascii="Arial" w:hAnsi="Arial" w:cs="Arial"/>
          <w:sz w:val="20"/>
          <w:szCs w:val="20"/>
          <w:lang w:eastAsia="zh-TW"/>
        </w:rPr>
        <w:t xml:space="preserve"> </w:t>
      </w:r>
      <w:r w:rsidRPr="007470A8">
        <w:rPr>
          <w:rFonts w:ascii="Arial" w:hAnsi="Arial" w:cs="Arial"/>
          <w:sz w:val="20"/>
          <w:szCs w:val="20"/>
          <w:lang w:eastAsia="zh-TW"/>
        </w:rPr>
        <w:t>Rule 13.28</w:t>
      </w:r>
      <w:r w:rsidR="00C7712F">
        <w:rPr>
          <w:rFonts w:ascii="Arial" w:hAnsi="Arial" w:cs="Arial"/>
          <w:sz w:val="20"/>
          <w:szCs w:val="20"/>
          <w:lang w:eastAsia="zh-TW"/>
        </w:rPr>
        <w:t>.</w:t>
      </w:r>
      <w:r w:rsidRPr="007470A8">
        <w:rPr>
          <w:rStyle w:val="a8"/>
          <w:rFonts w:ascii="Arial" w:hAnsi="Arial" w:cs="Arial"/>
          <w:sz w:val="20"/>
          <w:szCs w:val="20"/>
          <w:lang w:eastAsia="zh-TW"/>
        </w:rPr>
        <w:footnoteReference w:id="18"/>
      </w:r>
      <w:r w:rsidRPr="007470A8">
        <w:rPr>
          <w:rFonts w:ascii="Arial" w:hAnsi="Arial" w:cs="Arial"/>
          <w:sz w:val="20"/>
          <w:szCs w:val="20"/>
          <w:lang w:eastAsia="zh-TW"/>
        </w:rPr>
        <w:t xml:space="preserve"> </w:t>
      </w:r>
      <w:r w:rsidR="00C7712F" w:rsidRPr="007470A8">
        <w:rPr>
          <w:rFonts w:ascii="Arial" w:hAnsi="Arial" w:cs="Arial"/>
          <w:sz w:val="20"/>
          <w:szCs w:val="20"/>
          <w:lang w:eastAsia="zh-TW"/>
        </w:rPr>
        <w:t xml:space="preserve">and submission of placee information under </w:t>
      </w:r>
      <w:r w:rsidR="00C7712F">
        <w:rPr>
          <w:rFonts w:ascii="Arial" w:hAnsi="Arial" w:cs="Arial"/>
          <w:sz w:val="20"/>
          <w:szCs w:val="20"/>
        </w:rPr>
        <w:t>MB</w:t>
      </w:r>
      <w:r w:rsidR="00C7712F" w:rsidRPr="007470A8">
        <w:rPr>
          <w:rFonts w:ascii="Arial" w:hAnsi="Arial" w:cs="Arial"/>
          <w:sz w:val="20"/>
          <w:szCs w:val="20"/>
          <w:lang w:eastAsia="zh-TW"/>
        </w:rPr>
        <w:t xml:space="preserve"> Rule 9.23(2) is </w:t>
      </w:r>
      <w:r w:rsidR="00C7712F" w:rsidRPr="007470A8">
        <w:rPr>
          <w:rFonts w:ascii="Arial" w:hAnsi="Arial" w:cs="Arial"/>
          <w:sz w:val="20"/>
          <w:szCs w:val="20"/>
          <w:lang w:eastAsia="zh-TW"/>
        </w:rPr>
        <w:lastRenderedPageBreak/>
        <w:t>not required either.</w:t>
      </w:r>
      <w:r w:rsidR="00C7712F" w:rsidRPr="007470A8">
        <w:rPr>
          <w:rStyle w:val="a8"/>
          <w:rFonts w:ascii="Arial" w:hAnsi="Arial" w:cs="Arial"/>
          <w:sz w:val="20"/>
          <w:szCs w:val="20"/>
          <w:lang w:eastAsia="zh-TW"/>
        </w:rPr>
        <w:footnoteReference w:id="19"/>
      </w:r>
      <w:r w:rsidR="00C7712F" w:rsidRPr="007470A8">
        <w:rPr>
          <w:rFonts w:ascii="Arial" w:hAnsi="Arial" w:cs="Arial"/>
          <w:sz w:val="20"/>
          <w:szCs w:val="20"/>
          <w:lang w:eastAsia="zh-TW"/>
        </w:rPr>
        <w:t xml:space="preserve"> </w:t>
      </w:r>
      <w:r w:rsidR="00C7712F">
        <w:rPr>
          <w:rFonts w:ascii="Arial" w:hAnsi="Arial" w:cs="Arial"/>
          <w:sz w:val="20"/>
          <w:szCs w:val="20"/>
          <w:lang w:eastAsia="zh-TW"/>
        </w:rPr>
        <w:t xml:space="preserve">Nor are listed companies required to </w:t>
      </w:r>
      <w:r w:rsidR="00C7712F" w:rsidRPr="007470A8">
        <w:rPr>
          <w:rFonts w:ascii="Arial" w:hAnsi="Arial" w:cs="Arial"/>
          <w:sz w:val="20"/>
          <w:szCs w:val="20"/>
          <w:lang w:eastAsia="zh-TW"/>
        </w:rPr>
        <w:t>subm</w:t>
      </w:r>
      <w:r w:rsidR="00C7712F">
        <w:rPr>
          <w:rFonts w:ascii="Arial" w:hAnsi="Arial" w:cs="Arial"/>
          <w:sz w:val="20"/>
          <w:szCs w:val="20"/>
          <w:lang w:eastAsia="zh-TW"/>
        </w:rPr>
        <w:t>it</w:t>
      </w:r>
      <w:r w:rsidR="00C7712F" w:rsidRPr="007470A8">
        <w:rPr>
          <w:rFonts w:ascii="Arial" w:hAnsi="Arial" w:cs="Arial"/>
          <w:sz w:val="20"/>
          <w:szCs w:val="20"/>
          <w:lang w:eastAsia="zh-TW"/>
        </w:rPr>
        <w:t xml:space="preserve"> placee information under </w:t>
      </w:r>
      <w:r w:rsidR="00C7712F">
        <w:rPr>
          <w:rFonts w:ascii="Arial" w:hAnsi="Arial" w:cs="Arial"/>
          <w:sz w:val="20"/>
          <w:szCs w:val="20"/>
        </w:rPr>
        <w:t>MB</w:t>
      </w:r>
      <w:r w:rsidR="00C7712F" w:rsidRPr="007470A8">
        <w:rPr>
          <w:rFonts w:ascii="Arial" w:hAnsi="Arial" w:cs="Arial"/>
          <w:sz w:val="20"/>
          <w:szCs w:val="20"/>
          <w:lang w:eastAsia="zh-TW"/>
        </w:rPr>
        <w:t xml:space="preserve"> Rule 9.23(2).</w:t>
      </w:r>
      <w:r w:rsidR="00C7712F" w:rsidRPr="007470A8">
        <w:rPr>
          <w:rStyle w:val="a8"/>
          <w:rFonts w:ascii="Arial" w:hAnsi="Arial" w:cs="Arial"/>
          <w:sz w:val="20"/>
          <w:szCs w:val="20"/>
          <w:lang w:eastAsia="zh-TW"/>
        </w:rPr>
        <w:footnoteReference w:id="20"/>
      </w:r>
      <w:r w:rsidR="00C7712F" w:rsidRPr="007470A8">
        <w:rPr>
          <w:rFonts w:ascii="Arial" w:hAnsi="Arial" w:cs="Arial"/>
          <w:sz w:val="20"/>
          <w:szCs w:val="20"/>
          <w:lang w:eastAsia="zh-TW"/>
        </w:rPr>
        <w:t xml:space="preserve"> </w:t>
      </w:r>
      <w:r w:rsidR="00C7712F">
        <w:rPr>
          <w:rFonts w:ascii="Arial" w:hAnsi="Arial" w:cs="Arial"/>
          <w:sz w:val="20"/>
          <w:szCs w:val="20"/>
          <w:lang w:eastAsia="zh-TW"/>
        </w:rPr>
        <w:t xml:space="preserve"> D</w:t>
      </w:r>
      <w:r w:rsidRPr="007470A8">
        <w:rPr>
          <w:rFonts w:ascii="Arial" w:hAnsi="Arial" w:cs="Arial"/>
          <w:sz w:val="20"/>
          <w:szCs w:val="20"/>
          <w:lang w:eastAsia="zh-TW"/>
        </w:rPr>
        <w:t>isclos</w:t>
      </w:r>
      <w:r w:rsidR="00C7712F">
        <w:rPr>
          <w:rFonts w:ascii="Arial" w:hAnsi="Arial" w:cs="Arial"/>
          <w:sz w:val="20"/>
          <w:szCs w:val="20"/>
          <w:lang w:eastAsia="zh-TW"/>
        </w:rPr>
        <w:t>ur</w:t>
      </w:r>
      <w:r w:rsidRPr="007470A8">
        <w:rPr>
          <w:rFonts w:ascii="Arial" w:hAnsi="Arial" w:cs="Arial"/>
          <w:sz w:val="20"/>
          <w:szCs w:val="20"/>
          <w:lang w:eastAsia="zh-TW"/>
        </w:rPr>
        <w:t xml:space="preserve">e </w:t>
      </w:r>
      <w:r w:rsidR="00C7712F">
        <w:rPr>
          <w:rFonts w:ascii="Arial" w:hAnsi="Arial" w:cs="Arial"/>
          <w:sz w:val="20"/>
          <w:szCs w:val="20"/>
          <w:lang w:eastAsia="zh-TW"/>
        </w:rPr>
        <w:t>of listed companies’</w:t>
      </w:r>
      <w:r w:rsidRPr="007470A8">
        <w:rPr>
          <w:rFonts w:ascii="Arial" w:hAnsi="Arial" w:cs="Arial"/>
          <w:sz w:val="20"/>
          <w:szCs w:val="20"/>
          <w:lang w:eastAsia="zh-TW"/>
        </w:rPr>
        <w:t xml:space="preserve"> on-market resales </w:t>
      </w:r>
      <w:r w:rsidR="00C7712F">
        <w:rPr>
          <w:rFonts w:ascii="Arial" w:hAnsi="Arial" w:cs="Arial"/>
          <w:sz w:val="20"/>
          <w:szCs w:val="20"/>
          <w:lang w:eastAsia="zh-TW"/>
        </w:rPr>
        <w:t xml:space="preserve">must instead be disclosed </w:t>
      </w:r>
      <w:r w:rsidRPr="007470A8">
        <w:rPr>
          <w:rFonts w:ascii="Arial" w:hAnsi="Arial" w:cs="Arial"/>
          <w:sz w:val="20"/>
          <w:szCs w:val="20"/>
          <w:lang w:eastAsia="zh-TW"/>
        </w:rPr>
        <w:t xml:space="preserve">in </w:t>
      </w:r>
      <w:r w:rsidR="00C7712F">
        <w:rPr>
          <w:rFonts w:ascii="Arial" w:hAnsi="Arial" w:cs="Arial"/>
          <w:sz w:val="20"/>
          <w:szCs w:val="20"/>
          <w:lang w:eastAsia="zh-TW"/>
        </w:rPr>
        <w:t>a next day disclosure return.</w:t>
      </w:r>
      <w:r w:rsidRPr="007470A8">
        <w:rPr>
          <w:rFonts w:ascii="Arial" w:hAnsi="Arial" w:cs="Arial"/>
          <w:sz w:val="20"/>
          <w:szCs w:val="20"/>
          <w:lang w:eastAsia="zh-TW"/>
        </w:rPr>
        <w:t xml:space="preserve"> </w:t>
      </w:r>
    </w:p>
    <w:p w14:paraId="26B72E43" w14:textId="77777777" w:rsidR="00D532E4" w:rsidRPr="007470A8" w:rsidRDefault="00D532E4" w:rsidP="004D1795">
      <w:pPr>
        <w:pStyle w:val="a5"/>
        <w:spacing w:after="0"/>
        <w:ind w:left="786"/>
        <w:jc w:val="both"/>
        <w:rPr>
          <w:rFonts w:ascii="Arial" w:hAnsi="Arial" w:cs="Arial"/>
          <w:sz w:val="20"/>
          <w:szCs w:val="20"/>
          <w:lang w:eastAsia="zh-TW"/>
        </w:rPr>
      </w:pPr>
    </w:p>
    <w:p w14:paraId="5C769109" w14:textId="77777777" w:rsidR="00CA0D94" w:rsidRPr="00C7712F" w:rsidRDefault="00DA5701" w:rsidP="004D1795">
      <w:pPr>
        <w:pStyle w:val="a5"/>
        <w:numPr>
          <w:ilvl w:val="0"/>
          <w:numId w:val="1"/>
        </w:numPr>
        <w:spacing w:after="0"/>
        <w:ind w:left="426"/>
        <w:jc w:val="both"/>
        <w:rPr>
          <w:rFonts w:ascii="Arial" w:hAnsi="Arial" w:cs="Arial"/>
          <w:b/>
          <w:color w:val="FF0000"/>
          <w:sz w:val="20"/>
          <w:szCs w:val="20"/>
          <w:lang w:eastAsia="zh-TW"/>
        </w:rPr>
      </w:pPr>
      <w:r w:rsidRPr="00C7712F">
        <w:rPr>
          <w:rFonts w:ascii="Arial" w:hAnsi="Arial" w:cs="Arial"/>
          <w:b/>
          <w:color w:val="FF0000"/>
          <w:sz w:val="20"/>
          <w:szCs w:val="20"/>
          <w:lang w:eastAsia="zh-TW"/>
        </w:rPr>
        <w:t xml:space="preserve">Proposals relating to new listing applicants </w:t>
      </w:r>
    </w:p>
    <w:p w14:paraId="4BA6F829" w14:textId="77777777" w:rsidR="00CA0D94" w:rsidRPr="007470A8" w:rsidRDefault="00CA0D94" w:rsidP="004D1795">
      <w:pPr>
        <w:pStyle w:val="a5"/>
        <w:spacing w:after="0"/>
        <w:ind w:left="426"/>
        <w:jc w:val="both"/>
        <w:rPr>
          <w:rFonts w:ascii="Arial" w:hAnsi="Arial" w:cs="Arial"/>
          <w:sz w:val="20"/>
          <w:szCs w:val="20"/>
          <w:lang w:eastAsia="zh-TW"/>
        </w:rPr>
      </w:pPr>
    </w:p>
    <w:p w14:paraId="5F8B1A54" w14:textId="77777777" w:rsidR="00B05A4D" w:rsidRPr="007470A8" w:rsidRDefault="00DA5701" w:rsidP="004D1795">
      <w:pPr>
        <w:pStyle w:val="a5"/>
        <w:spacing w:after="0"/>
        <w:ind w:left="426"/>
        <w:jc w:val="both"/>
        <w:rPr>
          <w:rFonts w:ascii="Arial" w:hAnsi="Arial" w:cs="Arial"/>
          <w:sz w:val="20"/>
          <w:szCs w:val="20"/>
          <w:lang w:eastAsia="zh-TW"/>
        </w:rPr>
      </w:pPr>
      <w:r w:rsidRPr="007470A8">
        <w:rPr>
          <w:rFonts w:ascii="Arial" w:hAnsi="Arial" w:cs="Arial"/>
          <w:sz w:val="20"/>
          <w:szCs w:val="20"/>
          <w:lang w:eastAsia="zh-TW"/>
        </w:rPr>
        <w:t xml:space="preserve">For new listing applicants who wish to keep their existing treasury shares after listing, the following amendments to the Listing Rules must be observed: </w:t>
      </w:r>
    </w:p>
    <w:p w14:paraId="767DF5C2" w14:textId="77777777" w:rsidR="00B05A4D" w:rsidRPr="007470A8" w:rsidRDefault="00B05A4D" w:rsidP="004D1795">
      <w:pPr>
        <w:pStyle w:val="a5"/>
        <w:spacing w:after="0"/>
        <w:ind w:left="426"/>
        <w:jc w:val="both"/>
        <w:rPr>
          <w:rFonts w:ascii="Arial" w:hAnsi="Arial" w:cs="Arial"/>
          <w:sz w:val="20"/>
          <w:szCs w:val="20"/>
          <w:lang w:eastAsia="zh-TW"/>
        </w:rPr>
      </w:pPr>
    </w:p>
    <w:tbl>
      <w:tblPr>
        <w:tblStyle w:val="a4"/>
        <w:tblW w:w="4775" w:type="pct"/>
        <w:tblInd w:w="421" w:type="dxa"/>
        <w:tblLook w:val="04A0" w:firstRow="1" w:lastRow="0" w:firstColumn="1" w:lastColumn="0" w:noHBand="0" w:noVBand="1"/>
      </w:tblPr>
      <w:tblGrid>
        <w:gridCol w:w="1984"/>
        <w:gridCol w:w="6945"/>
      </w:tblGrid>
      <w:tr w:rsidR="00A33923" w:rsidRPr="007470A8" w14:paraId="270D0674" w14:textId="77777777" w:rsidTr="007470A8">
        <w:tc>
          <w:tcPr>
            <w:tcW w:w="1111" w:type="pct"/>
            <w:shd w:val="clear" w:color="auto" w:fill="F2F2F2" w:themeFill="background1" w:themeFillShade="F2"/>
          </w:tcPr>
          <w:p w14:paraId="594A0D3C" w14:textId="77777777" w:rsidR="00B05A4D" w:rsidRPr="002B40E8" w:rsidRDefault="00DA5701" w:rsidP="00331BC8">
            <w:pPr>
              <w:pStyle w:val="a5"/>
              <w:ind w:left="0"/>
              <w:jc w:val="both"/>
              <w:rPr>
                <w:rFonts w:ascii="Arial" w:hAnsi="Arial" w:cs="Arial"/>
                <w:b/>
                <w:sz w:val="20"/>
                <w:szCs w:val="20"/>
                <w:lang w:eastAsia="zh-TW"/>
              </w:rPr>
            </w:pPr>
            <w:r w:rsidRPr="002B40E8">
              <w:rPr>
                <w:rFonts w:ascii="Arial" w:hAnsi="Arial" w:cs="Arial"/>
                <w:b/>
                <w:sz w:val="20"/>
                <w:szCs w:val="20"/>
                <w:lang w:eastAsia="zh-TW"/>
              </w:rPr>
              <w:t>Relevant Rules or requirements</w:t>
            </w:r>
          </w:p>
          <w:p w14:paraId="08EA9715" w14:textId="77777777" w:rsidR="007470A8" w:rsidRPr="007470A8" w:rsidRDefault="007470A8" w:rsidP="00331BC8">
            <w:pPr>
              <w:pStyle w:val="a5"/>
              <w:ind w:left="0"/>
              <w:jc w:val="both"/>
              <w:rPr>
                <w:rFonts w:ascii="Arial" w:hAnsi="Arial" w:cs="Arial"/>
                <w:sz w:val="20"/>
                <w:szCs w:val="20"/>
                <w:lang w:eastAsia="zh-TW"/>
              </w:rPr>
            </w:pPr>
          </w:p>
        </w:tc>
        <w:tc>
          <w:tcPr>
            <w:tcW w:w="3889" w:type="pct"/>
            <w:shd w:val="clear" w:color="auto" w:fill="F2F2F2" w:themeFill="background1" w:themeFillShade="F2"/>
          </w:tcPr>
          <w:p w14:paraId="2AB2C3C4" w14:textId="77777777" w:rsidR="00B05A4D" w:rsidRPr="002B40E8" w:rsidRDefault="002B40E8" w:rsidP="002B40E8">
            <w:pPr>
              <w:pStyle w:val="a5"/>
              <w:ind w:left="0"/>
              <w:jc w:val="center"/>
              <w:rPr>
                <w:rFonts w:ascii="Arial" w:hAnsi="Arial" w:cs="Arial"/>
                <w:b/>
                <w:sz w:val="20"/>
                <w:szCs w:val="20"/>
                <w:lang w:eastAsia="zh-TW"/>
              </w:rPr>
            </w:pPr>
            <w:r w:rsidRPr="002B40E8">
              <w:rPr>
                <w:rFonts w:ascii="Arial" w:hAnsi="Arial" w:cs="Arial"/>
                <w:b/>
                <w:sz w:val="20"/>
                <w:szCs w:val="20"/>
                <w:lang w:eastAsia="zh-TW"/>
              </w:rPr>
              <w:t xml:space="preserve">Listing Rule </w:t>
            </w:r>
            <w:r w:rsidR="007470A8" w:rsidRPr="002B40E8">
              <w:rPr>
                <w:rFonts w:ascii="Arial" w:hAnsi="Arial" w:cs="Arial"/>
                <w:b/>
                <w:sz w:val="20"/>
                <w:szCs w:val="20"/>
                <w:lang w:eastAsia="zh-TW"/>
              </w:rPr>
              <w:t>Amendments</w:t>
            </w:r>
          </w:p>
        </w:tc>
      </w:tr>
      <w:tr w:rsidR="00A33923" w:rsidRPr="007470A8" w14:paraId="7D4971A0" w14:textId="77777777" w:rsidTr="004D1795">
        <w:tc>
          <w:tcPr>
            <w:tcW w:w="1111" w:type="pct"/>
          </w:tcPr>
          <w:p w14:paraId="39BD5839" w14:textId="77777777" w:rsidR="002B40E8" w:rsidRDefault="002B40E8" w:rsidP="004D1795">
            <w:pPr>
              <w:pStyle w:val="a5"/>
              <w:ind w:left="0"/>
              <w:rPr>
                <w:rFonts w:ascii="Arial" w:hAnsi="Arial" w:cs="Arial"/>
                <w:sz w:val="20"/>
                <w:szCs w:val="20"/>
              </w:rPr>
            </w:pPr>
          </w:p>
          <w:p w14:paraId="2FEE5282" w14:textId="77777777" w:rsidR="00B05A4D" w:rsidRDefault="00DA5701" w:rsidP="004D1795">
            <w:pPr>
              <w:pStyle w:val="a5"/>
              <w:ind w:left="0"/>
              <w:rPr>
                <w:rFonts w:ascii="Arial" w:hAnsi="Arial" w:cs="Arial"/>
                <w:sz w:val="20"/>
                <w:szCs w:val="20"/>
              </w:rPr>
            </w:pPr>
            <w:r w:rsidRPr="007470A8">
              <w:rPr>
                <w:rFonts w:ascii="Arial" w:hAnsi="Arial" w:cs="Arial"/>
                <w:sz w:val="20"/>
                <w:szCs w:val="20"/>
              </w:rPr>
              <w:t xml:space="preserve">MB Paragraph 23(1A) of Appendix D1A and Paragraph 23(1A) of Appendix D1E </w:t>
            </w:r>
            <w:r w:rsidRPr="007470A8">
              <w:rPr>
                <w:rStyle w:val="a8"/>
                <w:rFonts w:ascii="Arial" w:hAnsi="Arial" w:cs="Arial"/>
                <w:sz w:val="20"/>
                <w:szCs w:val="20"/>
                <w:lang w:eastAsia="zh-TW"/>
              </w:rPr>
              <w:footnoteReference w:id="21"/>
            </w:r>
          </w:p>
          <w:p w14:paraId="64E009DC" w14:textId="77777777" w:rsidR="00CA5F05" w:rsidRPr="007470A8" w:rsidRDefault="00CA5F05" w:rsidP="004D1795">
            <w:pPr>
              <w:pStyle w:val="a5"/>
              <w:ind w:left="0"/>
              <w:rPr>
                <w:rFonts w:ascii="Arial" w:hAnsi="Arial" w:cs="Arial"/>
                <w:sz w:val="20"/>
                <w:szCs w:val="20"/>
                <w:lang w:eastAsia="zh-TW"/>
              </w:rPr>
            </w:pPr>
          </w:p>
        </w:tc>
        <w:tc>
          <w:tcPr>
            <w:tcW w:w="3889" w:type="pct"/>
          </w:tcPr>
          <w:p w14:paraId="01E72573" w14:textId="77777777" w:rsidR="002B40E8" w:rsidRDefault="002B40E8" w:rsidP="004D1795">
            <w:pPr>
              <w:jc w:val="both"/>
              <w:rPr>
                <w:rFonts w:ascii="Arial" w:hAnsi="Arial" w:cs="Arial"/>
                <w:sz w:val="20"/>
                <w:szCs w:val="20"/>
                <w:lang w:eastAsia="zh-TW"/>
              </w:rPr>
            </w:pPr>
          </w:p>
          <w:p w14:paraId="1B946F2B" w14:textId="77777777" w:rsidR="002B40E8" w:rsidRDefault="00DA5701" w:rsidP="004D1795">
            <w:pPr>
              <w:jc w:val="both"/>
              <w:rPr>
                <w:rFonts w:ascii="Arial" w:hAnsi="Arial" w:cs="Arial"/>
                <w:sz w:val="20"/>
                <w:szCs w:val="20"/>
                <w:lang w:eastAsia="zh-TW"/>
              </w:rPr>
            </w:pPr>
            <w:r w:rsidRPr="007470A8">
              <w:rPr>
                <w:rFonts w:ascii="Arial" w:hAnsi="Arial" w:cs="Arial"/>
                <w:sz w:val="20"/>
                <w:szCs w:val="20"/>
                <w:lang w:eastAsia="zh-TW"/>
              </w:rPr>
              <w:t>Relevant disclosures on the treasury shares must be included in the prospectus</w:t>
            </w:r>
            <w:r w:rsidR="002B40E8">
              <w:rPr>
                <w:rFonts w:ascii="Arial" w:hAnsi="Arial" w:cs="Arial"/>
                <w:sz w:val="20"/>
                <w:szCs w:val="20"/>
                <w:lang w:eastAsia="zh-TW"/>
              </w:rPr>
              <w:t>:</w:t>
            </w:r>
          </w:p>
          <w:p w14:paraId="2879758E" w14:textId="77777777" w:rsidR="00B05A4D" w:rsidRDefault="00DA5701" w:rsidP="004D1795">
            <w:pPr>
              <w:jc w:val="both"/>
              <w:rPr>
                <w:rFonts w:ascii="Arial" w:hAnsi="Arial" w:cs="Arial"/>
                <w:sz w:val="20"/>
                <w:szCs w:val="20"/>
                <w:lang w:eastAsia="zh-TW"/>
              </w:rPr>
            </w:pPr>
            <w:r w:rsidRPr="007470A8">
              <w:rPr>
                <w:rFonts w:ascii="Arial" w:hAnsi="Arial" w:cs="Arial"/>
                <w:sz w:val="20"/>
                <w:szCs w:val="20"/>
                <w:lang w:eastAsia="zh-TW"/>
              </w:rPr>
              <w:t xml:space="preserve"> </w:t>
            </w:r>
          </w:p>
          <w:p w14:paraId="569F8427" w14:textId="01E8032F" w:rsidR="00CA5F05" w:rsidRDefault="001E2257" w:rsidP="007458D1">
            <w:pPr>
              <w:pStyle w:val="a5"/>
              <w:numPr>
                <w:ilvl w:val="0"/>
                <w:numId w:val="17"/>
              </w:numPr>
              <w:ind w:left="600"/>
              <w:jc w:val="both"/>
              <w:rPr>
                <w:rFonts w:ascii="Arial" w:hAnsi="Arial" w:cs="Arial"/>
                <w:sz w:val="20"/>
                <w:szCs w:val="20"/>
                <w:lang w:eastAsia="zh-TW"/>
              </w:rPr>
            </w:pPr>
            <w:r>
              <w:rPr>
                <w:rFonts w:ascii="Arial" w:hAnsi="Arial" w:cs="Arial"/>
                <w:sz w:val="20"/>
                <w:szCs w:val="20"/>
                <w:lang w:eastAsia="zh-TW"/>
              </w:rPr>
              <w:t>All in</w:t>
            </w:r>
            <w:r w:rsidR="00CA5F05">
              <w:rPr>
                <w:rFonts w:ascii="Arial" w:hAnsi="Arial" w:cs="Arial"/>
                <w:sz w:val="20"/>
                <w:szCs w:val="20"/>
                <w:lang w:eastAsia="zh-TW"/>
              </w:rPr>
              <w:t xml:space="preserve">tentions or plans to exercise a material repurchase must be fully explained and disclosed in the prospectus and cash flow forecasts to enable investors to make an informed assessment on the operations, </w:t>
            </w:r>
            <w:r w:rsidR="00AC6092">
              <w:rPr>
                <w:rFonts w:ascii="Arial" w:hAnsi="Arial" w:cs="Arial"/>
                <w:sz w:val="20"/>
                <w:szCs w:val="20"/>
                <w:lang w:eastAsia="zh-TW"/>
              </w:rPr>
              <w:t xml:space="preserve">management, </w:t>
            </w:r>
            <w:r w:rsidR="00CA5F05">
              <w:rPr>
                <w:rFonts w:ascii="Arial" w:hAnsi="Arial" w:cs="Arial"/>
                <w:sz w:val="20"/>
                <w:szCs w:val="20"/>
                <w:lang w:eastAsia="zh-TW"/>
              </w:rPr>
              <w:t xml:space="preserve">financial position and future prospects </w:t>
            </w:r>
            <w:r w:rsidR="00AC6092">
              <w:rPr>
                <w:rFonts w:ascii="Arial" w:hAnsi="Arial" w:cs="Arial"/>
                <w:sz w:val="20"/>
                <w:szCs w:val="20"/>
                <w:lang w:eastAsia="zh-TW"/>
              </w:rPr>
              <w:t xml:space="preserve">of the new listing applicant </w:t>
            </w:r>
          </w:p>
          <w:p w14:paraId="409DB584" w14:textId="77777777" w:rsidR="00AC6092" w:rsidRPr="00CA5F05" w:rsidRDefault="00AC6092" w:rsidP="00AC6092">
            <w:pPr>
              <w:pStyle w:val="a5"/>
              <w:jc w:val="both"/>
              <w:rPr>
                <w:rFonts w:ascii="Arial" w:hAnsi="Arial" w:cs="Arial"/>
                <w:sz w:val="20"/>
                <w:szCs w:val="20"/>
                <w:lang w:eastAsia="zh-TW"/>
              </w:rPr>
            </w:pPr>
          </w:p>
        </w:tc>
      </w:tr>
      <w:tr w:rsidR="00A33923" w:rsidRPr="007470A8" w14:paraId="51C63CA7" w14:textId="77777777" w:rsidTr="004D1795">
        <w:tc>
          <w:tcPr>
            <w:tcW w:w="1111" w:type="pct"/>
          </w:tcPr>
          <w:p w14:paraId="0598FDD1" w14:textId="77777777" w:rsidR="002B40E8" w:rsidRDefault="002B40E8" w:rsidP="00331BC8">
            <w:pPr>
              <w:pStyle w:val="a5"/>
              <w:ind w:left="0"/>
              <w:rPr>
                <w:rFonts w:ascii="Arial" w:hAnsi="Arial" w:cs="Arial"/>
                <w:sz w:val="20"/>
                <w:szCs w:val="20"/>
              </w:rPr>
            </w:pPr>
          </w:p>
          <w:p w14:paraId="594DE39C" w14:textId="77777777" w:rsidR="00B05A4D" w:rsidRPr="007470A8" w:rsidRDefault="00DA5701" w:rsidP="00331BC8">
            <w:pPr>
              <w:pStyle w:val="a5"/>
              <w:ind w:left="0"/>
              <w:rPr>
                <w:rFonts w:ascii="Arial" w:hAnsi="Arial" w:cs="Arial"/>
                <w:sz w:val="20"/>
                <w:szCs w:val="20"/>
                <w:lang w:eastAsia="zh-TW"/>
              </w:rPr>
            </w:pPr>
            <w:r w:rsidRPr="007470A8">
              <w:rPr>
                <w:rFonts w:ascii="Arial" w:hAnsi="Arial" w:cs="Arial"/>
                <w:sz w:val="20"/>
                <w:szCs w:val="20"/>
              </w:rPr>
              <w:t xml:space="preserve">MB </w:t>
            </w:r>
            <w:r w:rsidRPr="007470A8">
              <w:rPr>
                <w:rFonts w:ascii="Arial" w:hAnsi="Arial" w:cs="Arial"/>
                <w:sz w:val="20"/>
                <w:szCs w:val="20"/>
                <w:lang w:eastAsia="zh-TW"/>
              </w:rPr>
              <w:t>Rule 10.08</w:t>
            </w:r>
            <w:r w:rsidRPr="007470A8">
              <w:rPr>
                <w:rStyle w:val="a8"/>
                <w:rFonts w:ascii="Arial" w:hAnsi="Arial" w:cs="Arial"/>
                <w:sz w:val="20"/>
                <w:szCs w:val="20"/>
                <w:lang w:eastAsia="zh-TW"/>
              </w:rPr>
              <w:footnoteReference w:id="22"/>
            </w:r>
          </w:p>
        </w:tc>
        <w:tc>
          <w:tcPr>
            <w:tcW w:w="3889" w:type="pct"/>
          </w:tcPr>
          <w:p w14:paraId="1C21C9B7" w14:textId="77777777" w:rsidR="002B40E8" w:rsidRDefault="002B40E8" w:rsidP="00331BC8">
            <w:pPr>
              <w:pStyle w:val="a5"/>
              <w:ind w:left="0"/>
              <w:jc w:val="both"/>
              <w:rPr>
                <w:rFonts w:ascii="Arial" w:hAnsi="Arial" w:cs="Arial"/>
                <w:sz w:val="20"/>
                <w:szCs w:val="20"/>
                <w:lang w:eastAsia="zh-TW"/>
              </w:rPr>
            </w:pPr>
          </w:p>
          <w:p w14:paraId="5744367D" w14:textId="77777777" w:rsidR="000751C8" w:rsidRPr="007470A8" w:rsidRDefault="002B40E8" w:rsidP="00331BC8">
            <w:pPr>
              <w:pStyle w:val="a5"/>
              <w:ind w:left="0"/>
              <w:jc w:val="both"/>
              <w:rPr>
                <w:rFonts w:ascii="Arial" w:hAnsi="Arial" w:cs="Arial"/>
                <w:sz w:val="20"/>
                <w:szCs w:val="20"/>
                <w:lang w:eastAsia="zh-TW"/>
              </w:rPr>
            </w:pPr>
            <w:r>
              <w:rPr>
                <w:rFonts w:ascii="Arial" w:hAnsi="Arial" w:cs="Arial"/>
                <w:sz w:val="20"/>
                <w:szCs w:val="20"/>
                <w:lang w:eastAsia="zh-TW"/>
              </w:rPr>
              <w:t>The resale</w:t>
            </w:r>
            <w:r w:rsidR="00DA5701" w:rsidRPr="007470A8">
              <w:rPr>
                <w:rFonts w:ascii="Arial" w:hAnsi="Arial" w:cs="Arial"/>
                <w:sz w:val="20"/>
                <w:szCs w:val="20"/>
                <w:lang w:eastAsia="zh-TW"/>
              </w:rPr>
              <w:t xml:space="preserve"> of treasury</w:t>
            </w:r>
            <w:r w:rsidR="00AD6306" w:rsidRPr="007470A8">
              <w:rPr>
                <w:rFonts w:ascii="Arial" w:hAnsi="Arial" w:cs="Arial"/>
                <w:sz w:val="20"/>
                <w:szCs w:val="20"/>
                <w:lang w:eastAsia="zh-TW"/>
              </w:rPr>
              <w:t xml:space="preserve"> shares</w:t>
            </w:r>
            <w:r w:rsidR="00DA5701" w:rsidRPr="007470A8">
              <w:rPr>
                <w:rFonts w:ascii="Arial" w:hAnsi="Arial" w:cs="Arial"/>
                <w:sz w:val="20"/>
                <w:szCs w:val="20"/>
                <w:lang w:eastAsia="zh-TW"/>
              </w:rPr>
              <w:t xml:space="preserve"> </w:t>
            </w:r>
            <w:r>
              <w:rPr>
                <w:rFonts w:ascii="Arial" w:hAnsi="Arial" w:cs="Arial"/>
                <w:sz w:val="20"/>
                <w:szCs w:val="20"/>
                <w:lang w:eastAsia="zh-TW"/>
              </w:rPr>
              <w:t>(</w:t>
            </w:r>
            <w:r w:rsidR="00DA5701" w:rsidRPr="007470A8">
              <w:rPr>
                <w:rFonts w:ascii="Arial" w:hAnsi="Arial" w:cs="Arial"/>
                <w:sz w:val="20"/>
                <w:szCs w:val="20"/>
                <w:lang w:eastAsia="zh-TW"/>
              </w:rPr>
              <w:t xml:space="preserve">or </w:t>
            </w:r>
            <w:r w:rsidR="00AD6306" w:rsidRPr="007470A8">
              <w:rPr>
                <w:rFonts w:ascii="Arial" w:hAnsi="Arial" w:cs="Arial"/>
                <w:sz w:val="20"/>
                <w:szCs w:val="20"/>
                <w:lang w:eastAsia="zh-TW"/>
              </w:rPr>
              <w:t>agree</w:t>
            </w:r>
            <w:r>
              <w:rPr>
                <w:rFonts w:ascii="Arial" w:hAnsi="Arial" w:cs="Arial"/>
                <w:sz w:val="20"/>
                <w:szCs w:val="20"/>
                <w:lang w:eastAsia="zh-TW"/>
              </w:rPr>
              <w:t>ing to resell)</w:t>
            </w:r>
            <w:r w:rsidR="00AD6306" w:rsidRPr="007470A8">
              <w:rPr>
                <w:rFonts w:ascii="Arial" w:hAnsi="Arial" w:cs="Arial"/>
                <w:sz w:val="20"/>
                <w:szCs w:val="20"/>
                <w:lang w:eastAsia="zh-TW"/>
              </w:rPr>
              <w:t xml:space="preserve"> </w:t>
            </w:r>
            <w:r w:rsidR="00DA5701" w:rsidRPr="007470A8">
              <w:rPr>
                <w:rFonts w:ascii="Arial" w:hAnsi="Arial" w:cs="Arial"/>
                <w:sz w:val="20"/>
                <w:szCs w:val="20"/>
                <w:lang w:eastAsia="zh-TW"/>
              </w:rPr>
              <w:t xml:space="preserve">is not allowed </w:t>
            </w:r>
            <w:r w:rsidR="00AD6306" w:rsidRPr="007470A8">
              <w:rPr>
                <w:rFonts w:ascii="Arial" w:hAnsi="Arial" w:cs="Arial"/>
                <w:sz w:val="20"/>
                <w:szCs w:val="20"/>
                <w:lang w:eastAsia="zh-TW"/>
              </w:rPr>
              <w:t xml:space="preserve">within six months of </w:t>
            </w:r>
            <w:r>
              <w:rPr>
                <w:rFonts w:ascii="Arial" w:hAnsi="Arial" w:cs="Arial"/>
                <w:sz w:val="20"/>
                <w:szCs w:val="20"/>
                <w:lang w:eastAsia="zh-TW"/>
              </w:rPr>
              <w:t xml:space="preserve">a </w:t>
            </w:r>
            <w:r w:rsidR="00DA5701" w:rsidRPr="007470A8">
              <w:rPr>
                <w:rFonts w:ascii="Arial" w:hAnsi="Arial" w:cs="Arial"/>
                <w:sz w:val="20"/>
                <w:szCs w:val="20"/>
                <w:lang w:eastAsia="zh-TW"/>
              </w:rPr>
              <w:t>new listing</w:t>
            </w:r>
            <w:r w:rsidR="00AD6306" w:rsidRPr="007470A8">
              <w:rPr>
                <w:rFonts w:ascii="Arial" w:hAnsi="Arial" w:cs="Arial"/>
                <w:sz w:val="20"/>
                <w:szCs w:val="20"/>
                <w:lang w:eastAsia="zh-TW"/>
              </w:rPr>
              <w:t xml:space="preserve">. </w:t>
            </w:r>
          </w:p>
          <w:p w14:paraId="6EEB3E69" w14:textId="77777777" w:rsidR="00AD6306" w:rsidRPr="007470A8" w:rsidRDefault="00AD6306" w:rsidP="002B40E8">
            <w:pPr>
              <w:pStyle w:val="a5"/>
              <w:ind w:left="605"/>
              <w:jc w:val="both"/>
              <w:rPr>
                <w:rFonts w:ascii="Arial" w:hAnsi="Arial" w:cs="Arial"/>
                <w:sz w:val="20"/>
                <w:szCs w:val="20"/>
                <w:lang w:eastAsia="zh-TW"/>
              </w:rPr>
            </w:pPr>
          </w:p>
        </w:tc>
      </w:tr>
      <w:tr w:rsidR="00A33923" w:rsidRPr="007470A8" w14:paraId="60920A1B" w14:textId="77777777" w:rsidTr="004D1795">
        <w:tc>
          <w:tcPr>
            <w:tcW w:w="1111" w:type="pct"/>
          </w:tcPr>
          <w:p w14:paraId="3D11ABE8" w14:textId="77777777" w:rsidR="002B40E8" w:rsidRDefault="002B40E8" w:rsidP="00331BC8">
            <w:pPr>
              <w:pStyle w:val="a5"/>
              <w:ind w:left="0"/>
              <w:rPr>
                <w:rFonts w:ascii="Arial" w:hAnsi="Arial" w:cs="Arial"/>
                <w:sz w:val="20"/>
                <w:szCs w:val="20"/>
                <w:lang w:eastAsia="zh-TW"/>
              </w:rPr>
            </w:pPr>
          </w:p>
          <w:p w14:paraId="69FCC9EE" w14:textId="77777777" w:rsidR="00B05A4D" w:rsidRPr="007470A8" w:rsidRDefault="000751C8" w:rsidP="00331BC8">
            <w:pPr>
              <w:pStyle w:val="a5"/>
              <w:ind w:left="0"/>
              <w:rPr>
                <w:rFonts w:ascii="Arial" w:hAnsi="Arial" w:cs="Arial"/>
                <w:sz w:val="20"/>
                <w:szCs w:val="20"/>
                <w:lang w:eastAsia="zh-TW"/>
              </w:rPr>
            </w:pPr>
            <w:r w:rsidRPr="007470A8">
              <w:rPr>
                <w:rFonts w:ascii="Arial" w:hAnsi="Arial" w:cs="Arial"/>
                <w:sz w:val="20"/>
                <w:szCs w:val="20"/>
                <w:lang w:eastAsia="zh-TW"/>
              </w:rPr>
              <w:t>MB Rule 10.08(5)</w:t>
            </w:r>
          </w:p>
        </w:tc>
        <w:tc>
          <w:tcPr>
            <w:tcW w:w="3889" w:type="pct"/>
          </w:tcPr>
          <w:p w14:paraId="21DBA9D2" w14:textId="77777777" w:rsidR="002B40E8" w:rsidRDefault="002B40E8" w:rsidP="004D1795">
            <w:pPr>
              <w:jc w:val="both"/>
              <w:rPr>
                <w:rFonts w:ascii="Arial" w:hAnsi="Arial" w:cs="Arial"/>
                <w:sz w:val="20"/>
                <w:szCs w:val="20"/>
                <w:lang w:eastAsia="zh-TW"/>
              </w:rPr>
            </w:pPr>
          </w:p>
          <w:p w14:paraId="030EA885" w14:textId="77777777" w:rsidR="00A06A13" w:rsidRPr="007470A8" w:rsidRDefault="00DA5701" w:rsidP="004D1795">
            <w:pPr>
              <w:jc w:val="both"/>
              <w:rPr>
                <w:rFonts w:ascii="Arial" w:hAnsi="Arial" w:cs="Arial"/>
                <w:sz w:val="20"/>
                <w:szCs w:val="20"/>
                <w:lang w:eastAsia="zh-TW"/>
              </w:rPr>
            </w:pPr>
            <w:r w:rsidRPr="007470A8">
              <w:rPr>
                <w:rFonts w:ascii="Arial" w:hAnsi="Arial" w:cs="Arial"/>
                <w:sz w:val="20"/>
                <w:szCs w:val="20"/>
                <w:lang w:eastAsia="zh-TW"/>
              </w:rPr>
              <w:t xml:space="preserve">An exception from the six-month lock-up </w:t>
            </w:r>
            <w:r w:rsidR="002B40E8">
              <w:rPr>
                <w:rFonts w:ascii="Arial" w:hAnsi="Arial" w:cs="Arial"/>
                <w:sz w:val="20"/>
                <w:szCs w:val="20"/>
                <w:lang w:eastAsia="zh-TW"/>
              </w:rPr>
              <w:t xml:space="preserve">on </w:t>
            </w:r>
            <w:r w:rsidR="002B40E8" w:rsidRPr="007470A8">
              <w:rPr>
                <w:rFonts w:ascii="Arial" w:hAnsi="Arial" w:cs="Arial"/>
                <w:sz w:val="20"/>
                <w:szCs w:val="20"/>
                <w:lang w:eastAsia="zh-TW"/>
              </w:rPr>
              <w:t>resale</w:t>
            </w:r>
            <w:r w:rsidR="002B40E8">
              <w:rPr>
                <w:rFonts w:ascii="Arial" w:hAnsi="Arial" w:cs="Arial"/>
                <w:sz w:val="20"/>
                <w:szCs w:val="20"/>
                <w:lang w:eastAsia="zh-TW"/>
              </w:rPr>
              <w:t>s</w:t>
            </w:r>
            <w:r w:rsidR="002B40E8" w:rsidRPr="007470A8">
              <w:rPr>
                <w:rFonts w:ascii="Arial" w:hAnsi="Arial" w:cs="Arial"/>
                <w:sz w:val="20"/>
                <w:szCs w:val="20"/>
                <w:lang w:eastAsia="zh-TW"/>
              </w:rPr>
              <w:t xml:space="preserve"> of treasury shares</w:t>
            </w:r>
            <w:r w:rsidR="002B40E8">
              <w:rPr>
                <w:rFonts w:ascii="Arial" w:hAnsi="Arial" w:cs="Arial"/>
                <w:sz w:val="20"/>
                <w:szCs w:val="20"/>
                <w:lang w:eastAsia="zh-TW"/>
              </w:rPr>
              <w:t xml:space="preserve"> is available </w:t>
            </w:r>
            <w:r w:rsidRPr="007470A8">
              <w:rPr>
                <w:rFonts w:ascii="Arial" w:hAnsi="Arial" w:cs="Arial"/>
                <w:sz w:val="20"/>
                <w:szCs w:val="20"/>
                <w:lang w:eastAsia="zh-TW"/>
              </w:rPr>
              <w:t xml:space="preserve">for companies that have transferred their listing from GEM to the Main Board. </w:t>
            </w:r>
          </w:p>
          <w:p w14:paraId="6463B7E0" w14:textId="77777777" w:rsidR="00B05A4D" w:rsidRPr="007470A8" w:rsidRDefault="00B05A4D" w:rsidP="00331BC8">
            <w:pPr>
              <w:pStyle w:val="a5"/>
              <w:ind w:left="0"/>
              <w:jc w:val="both"/>
              <w:rPr>
                <w:rFonts w:ascii="Arial" w:hAnsi="Arial" w:cs="Arial"/>
                <w:sz w:val="20"/>
                <w:szCs w:val="20"/>
                <w:lang w:eastAsia="zh-TW"/>
              </w:rPr>
            </w:pPr>
          </w:p>
        </w:tc>
      </w:tr>
    </w:tbl>
    <w:p w14:paraId="0E9482FC" w14:textId="77777777" w:rsidR="00CA5F05" w:rsidRPr="007470A8" w:rsidRDefault="00CA5F05" w:rsidP="001E2257">
      <w:pPr>
        <w:spacing w:after="0"/>
        <w:jc w:val="both"/>
        <w:rPr>
          <w:rFonts w:ascii="Arial" w:hAnsi="Arial" w:cs="Arial"/>
          <w:sz w:val="20"/>
          <w:szCs w:val="20"/>
          <w:lang w:eastAsia="zh-TW"/>
        </w:rPr>
      </w:pPr>
    </w:p>
    <w:p w14:paraId="7271C03B" w14:textId="77777777" w:rsidR="00CA5F05" w:rsidRDefault="00DA5701" w:rsidP="00CA5F05">
      <w:pPr>
        <w:pStyle w:val="a5"/>
        <w:spacing w:after="0"/>
        <w:ind w:left="426"/>
        <w:jc w:val="both"/>
        <w:rPr>
          <w:rFonts w:ascii="Arial" w:hAnsi="Arial" w:cs="Arial"/>
          <w:sz w:val="20"/>
          <w:szCs w:val="20"/>
          <w:lang w:eastAsia="zh-TW"/>
        </w:rPr>
      </w:pPr>
      <w:r w:rsidRPr="007470A8">
        <w:rPr>
          <w:rFonts w:ascii="Arial" w:hAnsi="Arial" w:cs="Arial"/>
          <w:sz w:val="20"/>
          <w:szCs w:val="20"/>
          <w:lang w:eastAsia="zh-TW"/>
        </w:rPr>
        <w:t>Some respondents raised questions on whether a new listing applicant could issue new shares to a trust before listing and use these shares to satisfy any future share grants under its share scheme after listing. Referencing a</w:t>
      </w:r>
      <w:r w:rsidR="003606B4" w:rsidRPr="007470A8">
        <w:rPr>
          <w:rFonts w:ascii="Arial" w:hAnsi="Arial" w:cs="Arial"/>
          <w:sz w:val="20"/>
          <w:szCs w:val="20"/>
          <w:lang w:eastAsia="zh-TW"/>
        </w:rPr>
        <w:t xml:space="preserve"> </w:t>
      </w:r>
      <w:hyperlink r:id="rId14" w:history="1">
        <w:r w:rsidR="003606B4" w:rsidRPr="007470A8">
          <w:rPr>
            <w:rStyle w:val="a3"/>
            <w:rFonts w:ascii="Arial" w:hAnsi="Arial" w:cs="Arial"/>
            <w:sz w:val="20"/>
            <w:szCs w:val="20"/>
            <w:lang w:eastAsia="zh-TW"/>
          </w:rPr>
          <w:t>previous FAQ</w:t>
        </w:r>
      </w:hyperlink>
      <w:r w:rsidR="00920662">
        <w:rPr>
          <w:rStyle w:val="a3"/>
          <w:rFonts w:ascii="Arial" w:hAnsi="Arial" w:cs="Arial"/>
          <w:sz w:val="20"/>
          <w:szCs w:val="20"/>
          <w:lang w:eastAsia="zh-TW"/>
        </w:rPr>
        <w:t xml:space="preserve"> 091-2022</w:t>
      </w:r>
      <w:r w:rsidR="003606B4" w:rsidRPr="007470A8">
        <w:rPr>
          <w:rFonts w:ascii="Arial" w:hAnsi="Arial" w:cs="Arial"/>
          <w:sz w:val="20"/>
          <w:szCs w:val="20"/>
          <w:lang w:eastAsia="zh-TW"/>
        </w:rPr>
        <w:t xml:space="preserve"> published</w:t>
      </w:r>
      <w:r w:rsidRPr="007470A8">
        <w:rPr>
          <w:rFonts w:ascii="Arial" w:hAnsi="Arial" w:cs="Arial"/>
          <w:sz w:val="20"/>
          <w:szCs w:val="20"/>
          <w:lang w:eastAsia="zh-TW"/>
        </w:rPr>
        <w:t xml:space="preserve"> by the HKEX</w:t>
      </w:r>
      <w:r w:rsidR="003606B4" w:rsidRPr="007470A8">
        <w:rPr>
          <w:rFonts w:ascii="Arial" w:hAnsi="Arial" w:cs="Arial"/>
          <w:sz w:val="20"/>
          <w:szCs w:val="20"/>
          <w:lang w:eastAsia="zh-TW"/>
        </w:rPr>
        <w:t xml:space="preserve"> subsequent to the amendments to </w:t>
      </w:r>
      <w:r w:rsidR="002B40E8">
        <w:rPr>
          <w:rFonts w:ascii="Arial" w:hAnsi="Arial" w:cs="Arial"/>
          <w:sz w:val="20"/>
          <w:szCs w:val="20"/>
          <w:lang w:eastAsia="zh-TW"/>
        </w:rPr>
        <w:t xml:space="preserve">the Listing Rules on </w:t>
      </w:r>
      <w:r w:rsidR="003606B4" w:rsidRPr="007470A8">
        <w:rPr>
          <w:rFonts w:ascii="Arial" w:hAnsi="Arial" w:cs="Arial"/>
          <w:sz w:val="20"/>
          <w:szCs w:val="20"/>
          <w:lang w:eastAsia="zh-TW"/>
        </w:rPr>
        <w:t xml:space="preserve">share schemes in 2022, </w:t>
      </w:r>
      <w:r w:rsidRPr="007470A8">
        <w:rPr>
          <w:rFonts w:ascii="Arial" w:hAnsi="Arial" w:cs="Arial"/>
          <w:sz w:val="20"/>
          <w:szCs w:val="20"/>
          <w:lang w:eastAsia="zh-TW"/>
        </w:rPr>
        <w:t>t</w:t>
      </w:r>
      <w:r w:rsidR="003606B4" w:rsidRPr="007470A8">
        <w:rPr>
          <w:rFonts w:ascii="Arial" w:hAnsi="Arial" w:cs="Arial"/>
          <w:sz w:val="20"/>
          <w:szCs w:val="20"/>
          <w:lang w:eastAsia="zh-TW"/>
        </w:rPr>
        <w:t xml:space="preserve">his </w:t>
      </w:r>
      <w:r w:rsidR="002B40E8">
        <w:rPr>
          <w:rFonts w:ascii="Arial" w:hAnsi="Arial" w:cs="Arial"/>
          <w:sz w:val="20"/>
          <w:szCs w:val="20"/>
          <w:lang w:eastAsia="zh-TW"/>
        </w:rPr>
        <w:t xml:space="preserve">will only be </w:t>
      </w:r>
      <w:r w:rsidR="003606B4" w:rsidRPr="007470A8">
        <w:rPr>
          <w:rFonts w:ascii="Arial" w:hAnsi="Arial" w:cs="Arial"/>
          <w:sz w:val="20"/>
          <w:szCs w:val="20"/>
          <w:lang w:eastAsia="zh-TW"/>
        </w:rPr>
        <w:t xml:space="preserve">allowed if </w:t>
      </w:r>
      <w:r w:rsidR="002B40E8">
        <w:rPr>
          <w:rFonts w:ascii="Arial" w:hAnsi="Arial" w:cs="Arial"/>
          <w:sz w:val="20"/>
          <w:szCs w:val="20"/>
          <w:lang w:eastAsia="zh-TW"/>
        </w:rPr>
        <w:t xml:space="preserve">the </w:t>
      </w:r>
      <w:r w:rsidR="003606B4" w:rsidRPr="007470A8">
        <w:rPr>
          <w:rFonts w:ascii="Arial" w:hAnsi="Arial" w:cs="Arial"/>
          <w:sz w:val="20"/>
          <w:szCs w:val="20"/>
          <w:lang w:eastAsia="zh-TW"/>
        </w:rPr>
        <w:t xml:space="preserve">arrangements </w:t>
      </w:r>
      <w:r w:rsidRPr="007470A8">
        <w:rPr>
          <w:rFonts w:ascii="Arial" w:hAnsi="Arial" w:cs="Arial"/>
          <w:sz w:val="20"/>
          <w:szCs w:val="20"/>
          <w:lang w:eastAsia="zh-TW"/>
        </w:rPr>
        <w:t xml:space="preserve">benefit specified </w:t>
      </w:r>
      <w:r w:rsidR="003E38C6" w:rsidRPr="007470A8">
        <w:rPr>
          <w:rFonts w:ascii="Arial" w:hAnsi="Arial" w:cs="Arial"/>
          <w:sz w:val="20"/>
          <w:szCs w:val="20"/>
          <w:lang w:eastAsia="zh-TW"/>
        </w:rPr>
        <w:t>participants</w:t>
      </w:r>
      <w:r w:rsidR="007011C8" w:rsidRPr="007470A8">
        <w:rPr>
          <w:rFonts w:ascii="Arial" w:hAnsi="Arial" w:cs="Arial"/>
          <w:sz w:val="20"/>
          <w:szCs w:val="20"/>
          <w:lang w:eastAsia="zh-TW"/>
        </w:rPr>
        <w:t xml:space="preserve">. If a new applicant proposes to issue new shares to the trustee before listing and use them to satisfy any future share grants after listing, this will be regarded as a non-compliant circumvention of Chapter 17 as no specified participants </w:t>
      </w:r>
      <w:r w:rsidRPr="007470A8">
        <w:rPr>
          <w:rFonts w:ascii="Arial" w:hAnsi="Arial" w:cs="Arial"/>
          <w:sz w:val="20"/>
          <w:szCs w:val="20"/>
          <w:lang w:eastAsia="zh-TW"/>
        </w:rPr>
        <w:t>can be designated at the time the</w:t>
      </w:r>
      <w:r w:rsidR="007011C8" w:rsidRPr="007470A8">
        <w:rPr>
          <w:rFonts w:ascii="Arial" w:hAnsi="Arial" w:cs="Arial"/>
          <w:sz w:val="20"/>
          <w:szCs w:val="20"/>
          <w:lang w:eastAsia="zh-TW"/>
        </w:rPr>
        <w:t xml:space="preserve"> new shares are issued to the trustee.</w:t>
      </w:r>
    </w:p>
    <w:p w14:paraId="10E88A9A" w14:textId="77777777" w:rsidR="00CA5F05" w:rsidRPr="002B40E8" w:rsidRDefault="00CA5F05" w:rsidP="00CA5F05">
      <w:pPr>
        <w:pStyle w:val="a5"/>
        <w:spacing w:after="0"/>
        <w:ind w:left="426"/>
        <w:jc w:val="both"/>
        <w:rPr>
          <w:rFonts w:ascii="Arial" w:hAnsi="Arial" w:cs="Arial"/>
          <w:b/>
          <w:color w:val="FF0000"/>
          <w:sz w:val="20"/>
          <w:szCs w:val="20"/>
          <w:lang w:eastAsia="zh-TW"/>
        </w:rPr>
      </w:pPr>
    </w:p>
    <w:p w14:paraId="4419F077" w14:textId="77777777" w:rsidR="007011C8" w:rsidRPr="002B40E8" w:rsidRDefault="00DA5701" w:rsidP="004D1795">
      <w:pPr>
        <w:pStyle w:val="a5"/>
        <w:numPr>
          <w:ilvl w:val="0"/>
          <w:numId w:val="1"/>
        </w:numPr>
        <w:spacing w:after="0"/>
        <w:ind w:left="426"/>
        <w:jc w:val="both"/>
        <w:rPr>
          <w:rFonts w:ascii="Arial" w:hAnsi="Arial" w:cs="Arial"/>
          <w:b/>
          <w:color w:val="FF0000"/>
          <w:sz w:val="20"/>
          <w:szCs w:val="20"/>
          <w:lang w:eastAsia="zh-TW"/>
        </w:rPr>
      </w:pPr>
      <w:r w:rsidRPr="002B40E8">
        <w:rPr>
          <w:rFonts w:ascii="Arial" w:hAnsi="Arial" w:cs="Arial"/>
          <w:b/>
          <w:color w:val="FF0000"/>
          <w:sz w:val="20"/>
          <w:szCs w:val="20"/>
          <w:lang w:eastAsia="zh-TW"/>
        </w:rPr>
        <w:t xml:space="preserve">Other consequential Listing Rule amendments </w:t>
      </w:r>
    </w:p>
    <w:p w14:paraId="322AD9C0" w14:textId="77777777" w:rsidR="008E4A8B" w:rsidRPr="007470A8" w:rsidRDefault="008E4A8B" w:rsidP="004D1795">
      <w:pPr>
        <w:pStyle w:val="a5"/>
        <w:spacing w:after="0"/>
        <w:ind w:left="426"/>
        <w:jc w:val="both"/>
        <w:rPr>
          <w:rFonts w:ascii="Arial" w:hAnsi="Arial" w:cs="Arial"/>
          <w:sz w:val="20"/>
          <w:szCs w:val="20"/>
          <w:u w:val="single"/>
          <w:lang w:eastAsia="zh-TW"/>
        </w:rPr>
      </w:pPr>
    </w:p>
    <w:p w14:paraId="30F07065" w14:textId="77777777" w:rsidR="007011C8" w:rsidRPr="002B40E8" w:rsidRDefault="00DA5701" w:rsidP="002B40E8">
      <w:pPr>
        <w:pStyle w:val="a5"/>
        <w:numPr>
          <w:ilvl w:val="0"/>
          <w:numId w:val="10"/>
        </w:numPr>
        <w:spacing w:after="0"/>
        <w:ind w:left="851" w:hanging="425"/>
        <w:jc w:val="both"/>
        <w:rPr>
          <w:rFonts w:ascii="Arial" w:hAnsi="Arial" w:cs="Arial"/>
          <w:b/>
          <w:sz w:val="20"/>
          <w:szCs w:val="20"/>
          <w:lang w:eastAsia="zh-TW"/>
        </w:rPr>
      </w:pPr>
      <w:r w:rsidRPr="002B40E8">
        <w:rPr>
          <w:rFonts w:ascii="Arial" w:hAnsi="Arial" w:cs="Arial"/>
          <w:b/>
          <w:sz w:val="20"/>
          <w:szCs w:val="20"/>
          <w:lang w:eastAsia="zh-TW"/>
        </w:rPr>
        <w:t xml:space="preserve">Voting rights attached to treasury shares  </w:t>
      </w:r>
    </w:p>
    <w:p w14:paraId="13149DC6" w14:textId="77777777" w:rsidR="007011C8" w:rsidRPr="007470A8" w:rsidRDefault="007011C8" w:rsidP="004D1795">
      <w:pPr>
        <w:pStyle w:val="a5"/>
        <w:spacing w:after="0"/>
        <w:ind w:left="851"/>
        <w:jc w:val="both"/>
        <w:rPr>
          <w:rFonts w:ascii="Arial" w:hAnsi="Arial" w:cs="Arial"/>
          <w:sz w:val="20"/>
          <w:szCs w:val="20"/>
          <w:lang w:eastAsia="zh-TW"/>
        </w:rPr>
      </w:pPr>
    </w:p>
    <w:p w14:paraId="18F5688F" w14:textId="77777777" w:rsidR="007011C8" w:rsidRPr="007470A8" w:rsidRDefault="00DA5701" w:rsidP="004D1795">
      <w:pPr>
        <w:pStyle w:val="a5"/>
        <w:spacing w:after="0"/>
        <w:ind w:left="851"/>
        <w:jc w:val="both"/>
        <w:rPr>
          <w:rFonts w:ascii="Arial" w:hAnsi="Arial" w:cs="Arial"/>
          <w:sz w:val="20"/>
          <w:szCs w:val="20"/>
          <w:lang w:eastAsia="zh-TW"/>
        </w:rPr>
      </w:pPr>
      <w:r w:rsidRPr="007470A8">
        <w:rPr>
          <w:rFonts w:ascii="Arial" w:hAnsi="Arial" w:cs="Arial"/>
          <w:sz w:val="20"/>
          <w:szCs w:val="20"/>
          <w:lang w:eastAsia="zh-TW"/>
        </w:rPr>
        <w:lastRenderedPageBreak/>
        <w:t xml:space="preserve">Amendments to </w:t>
      </w:r>
      <w:r w:rsidR="008874BF" w:rsidRPr="007470A8">
        <w:rPr>
          <w:rFonts w:ascii="Arial" w:hAnsi="Arial" w:cs="Arial"/>
          <w:sz w:val="20"/>
          <w:szCs w:val="20"/>
          <w:lang w:eastAsia="zh-TW"/>
        </w:rPr>
        <w:t>MB Rule 1.01</w:t>
      </w:r>
      <w:r w:rsidRPr="007470A8">
        <w:rPr>
          <w:rStyle w:val="a8"/>
          <w:rFonts w:ascii="Arial" w:hAnsi="Arial" w:cs="Arial"/>
          <w:sz w:val="20"/>
          <w:szCs w:val="20"/>
          <w:lang w:eastAsia="zh-TW"/>
        </w:rPr>
        <w:footnoteReference w:id="23"/>
      </w:r>
      <w:r w:rsidR="008874BF" w:rsidRPr="007470A8">
        <w:rPr>
          <w:rFonts w:ascii="Arial" w:hAnsi="Arial" w:cs="Arial"/>
          <w:sz w:val="20"/>
          <w:szCs w:val="20"/>
          <w:lang w:eastAsia="zh-TW"/>
        </w:rPr>
        <w:t xml:space="preserve"> </w:t>
      </w:r>
      <w:r w:rsidR="00600D4D" w:rsidRPr="007470A8">
        <w:rPr>
          <w:rFonts w:ascii="Arial" w:hAnsi="Arial" w:cs="Arial"/>
          <w:sz w:val="20"/>
          <w:szCs w:val="20"/>
          <w:lang w:eastAsia="zh-TW"/>
        </w:rPr>
        <w:t xml:space="preserve">clarify that listed companies </w:t>
      </w:r>
      <w:r w:rsidR="008874BF" w:rsidRPr="007470A8">
        <w:rPr>
          <w:rFonts w:ascii="Arial" w:hAnsi="Arial" w:cs="Arial"/>
          <w:sz w:val="20"/>
          <w:szCs w:val="20"/>
          <w:lang w:eastAsia="zh-TW"/>
        </w:rPr>
        <w:t xml:space="preserve">that </w:t>
      </w:r>
      <w:r w:rsidR="002B40E8">
        <w:rPr>
          <w:rFonts w:ascii="Arial" w:hAnsi="Arial" w:cs="Arial"/>
          <w:sz w:val="20"/>
          <w:szCs w:val="20"/>
          <w:lang w:eastAsia="zh-TW"/>
        </w:rPr>
        <w:t>hold treasury shares must</w:t>
      </w:r>
      <w:r w:rsidR="00600D4D" w:rsidRPr="007470A8">
        <w:rPr>
          <w:rFonts w:ascii="Arial" w:hAnsi="Arial" w:cs="Arial"/>
          <w:sz w:val="20"/>
          <w:szCs w:val="20"/>
          <w:lang w:eastAsia="zh-TW"/>
        </w:rPr>
        <w:t xml:space="preserve"> abstain from voting on matters that require shareholders’ approval under the </w:t>
      </w:r>
      <w:r w:rsidR="002B40E8">
        <w:rPr>
          <w:rFonts w:ascii="Arial" w:hAnsi="Arial" w:cs="Arial"/>
          <w:sz w:val="20"/>
          <w:szCs w:val="20"/>
          <w:lang w:eastAsia="zh-TW"/>
        </w:rPr>
        <w:t xml:space="preserve">HKEX </w:t>
      </w:r>
      <w:r w:rsidR="00600D4D" w:rsidRPr="007470A8">
        <w:rPr>
          <w:rFonts w:ascii="Arial" w:hAnsi="Arial" w:cs="Arial"/>
          <w:sz w:val="20"/>
          <w:szCs w:val="20"/>
          <w:lang w:eastAsia="zh-TW"/>
        </w:rPr>
        <w:t>Listing Rules.</w:t>
      </w:r>
      <w:r w:rsidR="008874BF" w:rsidRPr="007470A8">
        <w:rPr>
          <w:rFonts w:ascii="Arial" w:hAnsi="Arial" w:cs="Arial"/>
          <w:sz w:val="20"/>
          <w:szCs w:val="20"/>
          <w:lang w:eastAsia="zh-TW"/>
        </w:rPr>
        <w:t xml:space="preserve"> </w:t>
      </w:r>
    </w:p>
    <w:p w14:paraId="19B8EF32" w14:textId="77777777" w:rsidR="008874BF" w:rsidRPr="007470A8" w:rsidRDefault="008874BF" w:rsidP="004D1795">
      <w:pPr>
        <w:pStyle w:val="a5"/>
        <w:spacing w:after="0"/>
        <w:ind w:left="851"/>
        <w:jc w:val="both"/>
        <w:rPr>
          <w:rFonts w:ascii="Arial" w:hAnsi="Arial" w:cs="Arial"/>
          <w:sz w:val="20"/>
          <w:szCs w:val="20"/>
          <w:lang w:eastAsia="zh-TW"/>
        </w:rPr>
      </w:pPr>
    </w:p>
    <w:p w14:paraId="66BD224F" w14:textId="77777777" w:rsidR="008874BF" w:rsidRPr="007470A8" w:rsidRDefault="00DA5701" w:rsidP="004D1795">
      <w:pPr>
        <w:pStyle w:val="a5"/>
        <w:spacing w:after="0"/>
        <w:ind w:left="851"/>
        <w:jc w:val="both"/>
        <w:rPr>
          <w:rFonts w:ascii="Arial" w:hAnsi="Arial" w:cs="Arial"/>
          <w:sz w:val="20"/>
          <w:szCs w:val="20"/>
          <w:lang w:eastAsia="zh-TW"/>
        </w:rPr>
      </w:pPr>
      <w:r w:rsidRPr="007470A8">
        <w:rPr>
          <w:rFonts w:ascii="Arial" w:hAnsi="Arial" w:cs="Arial"/>
          <w:sz w:val="20"/>
          <w:szCs w:val="20"/>
          <w:lang w:eastAsia="zh-TW"/>
        </w:rPr>
        <w:t>The HKEX will also amend MB Rules 14.44 and 14A.37</w:t>
      </w:r>
      <w:r w:rsidRPr="007470A8">
        <w:rPr>
          <w:rStyle w:val="a8"/>
          <w:rFonts w:ascii="Arial" w:hAnsi="Arial" w:cs="Arial"/>
          <w:sz w:val="20"/>
          <w:szCs w:val="20"/>
          <w:lang w:eastAsia="zh-TW"/>
        </w:rPr>
        <w:footnoteReference w:id="24"/>
      </w:r>
      <w:r w:rsidRPr="007470A8">
        <w:rPr>
          <w:rFonts w:ascii="Arial" w:hAnsi="Arial" w:cs="Arial"/>
          <w:sz w:val="20"/>
          <w:szCs w:val="20"/>
          <w:lang w:eastAsia="zh-TW"/>
        </w:rPr>
        <w:t xml:space="preserve"> to clarify that for the purposes of </w:t>
      </w:r>
      <w:r w:rsidR="002B40E8">
        <w:rPr>
          <w:rFonts w:ascii="Arial" w:hAnsi="Arial" w:cs="Arial"/>
          <w:sz w:val="20"/>
          <w:szCs w:val="20"/>
          <w:lang w:eastAsia="zh-TW"/>
        </w:rPr>
        <w:t>these rules, the definition of “</w:t>
      </w:r>
      <w:r w:rsidRPr="007470A8">
        <w:rPr>
          <w:rFonts w:ascii="Arial" w:hAnsi="Arial" w:cs="Arial"/>
          <w:sz w:val="20"/>
          <w:szCs w:val="20"/>
          <w:lang w:eastAsia="zh-TW"/>
        </w:rPr>
        <w:t>shareho</w:t>
      </w:r>
      <w:r w:rsidR="002B40E8">
        <w:rPr>
          <w:rFonts w:ascii="Arial" w:hAnsi="Arial" w:cs="Arial"/>
          <w:sz w:val="20"/>
          <w:szCs w:val="20"/>
          <w:lang w:eastAsia="zh-TW"/>
        </w:rPr>
        <w:t>lder”</w:t>
      </w:r>
      <w:r w:rsidRPr="007470A8">
        <w:rPr>
          <w:rFonts w:ascii="Arial" w:hAnsi="Arial" w:cs="Arial"/>
          <w:sz w:val="20"/>
          <w:szCs w:val="20"/>
          <w:lang w:eastAsia="zh-TW"/>
        </w:rPr>
        <w:t xml:space="preserve"> refer</w:t>
      </w:r>
      <w:r w:rsidR="002B40E8">
        <w:rPr>
          <w:rFonts w:ascii="Arial" w:hAnsi="Arial" w:cs="Arial"/>
          <w:sz w:val="20"/>
          <w:szCs w:val="20"/>
          <w:lang w:eastAsia="zh-TW"/>
        </w:rPr>
        <w:t>s</w:t>
      </w:r>
      <w:r w:rsidRPr="007470A8">
        <w:rPr>
          <w:rFonts w:ascii="Arial" w:hAnsi="Arial" w:cs="Arial"/>
          <w:sz w:val="20"/>
          <w:szCs w:val="20"/>
          <w:lang w:eastAsia="zh-TW"/>
        </w:rPr>
        <w:t xml:space="preserve"> to </w:t>
      </w:r>
      <w:r w:rsidR="002B40E8">
        <w:rPr>
          <w:rFonts w:ascii="Arial" w:hAnsi="Arial" w:cs="Arial"/>
          <w:sz w:val="20"/>
          <w:szCs w:val="20"/>
          <w:lang w:eastAsia="zh-TW"/>
        </w:rPr>
        <w:t>a “</w:t>
      </w:r>
      <w:r w:rsidRPr="007470A8">
        <w:rPr>
          <w:rFonts w:ascii="Arial" w:hAnsi="Arial" w:cs="Arial"/>
          <w:sz w:val="20"/>
          <w:szCs w:val="20"/>
          <w:lang w:eastAsia="zh-TW"/>
        </w:rPr>
        <w:t>shareholder other tha</w:t>
      </w:r>
      <w:r w:rsidR="002B40E8">
        <w:rPr>
          <w:rFonts w:ascii="Arial" w:hAnsi="Arial" w:cs="Arial"/>
          <w:sz w:val="20"/>
          <w:szCs w:val="20"/>
          <w:lang w:eastAsia="zh-TW"/>
        </w:rPr>
        <w:t>n the holder of treasury shares”</w:t>
      </w:r>
      <w:r w:rsidRPr="007470A8">
        <w:rPr>
          <w:rFonts w:ascii="Arial" w:hAnsi="Arial" w:cs="Arial"/>
          <w:sz w:val="20"/>
          <w:szCs w:val="20"/>
          <w:lang w:eastAsia="zh-TW"/>
        </w:rPr>
        <w:t xml:space="preserve">. </w:t>
      </w:r>
    </w:p>
    <w:p w14:paraId="00DA260B" w14:textId="77777777" w:rsidR="002B40E8" w:rsidRDefault="002B40E8" w:rsidP="004D1795">
      <w:pPr>
        <w:pStyle w:val="a5"/>
        <w:spacing w:after="0"/>
        <w:ind w:left="851"/>
        <w:jc w:val="both"/>
        <w:rPr>
          <w:rFonts w:ascii="Arial" w:hAnsi="Arial" w:cs="Arial"/>
          <w:sz w:val="20"/>
          <w:szCs w:val="20"/>
          <w:lang w:eastAsia="zh-TW"/>
        </w:rPr>
      </w:pPr>
    </w:p>
    <w:p w14:paraId="4BF21257" w14:textId="77777777" w:rsidR="00600D4D" w:rsidRPr="007470A8" w:rsidRDefault="00DA5701" w:rsidP="004D1795">
      <w:pPr>
        <w:pStyle w:val="a5"/>
        <w:spacing w:after="0"/>
        <w:ind w:left="851"/>
        <w:jc w:val="both"/>
        <w:rPr>
          <w:rFonts w:ascii="Arial" w:hAnsi="Arial" w:cs="Arial"/>
          <w:sz w:val="20"/>
          <w:szCs w:val="20"/>
          <w:lang w:eastAsia="zh-TW"/>
        </w:rPr>
      </w:pPr>
      <w:r w:rsidRPr="007470A8">
        <w:rPr>
          <w:rFonts w:ascii="Arial" w:hAnsi="Arial" w:cs="Arial"/>
          <w:sz w:val="20"/>
          <w:szCs w:val="20"/>
          <w:lang w:eastAsia="zh-TW"/>
        </w:rPr>
        <w:t xml:space="preserve">The HKEX </w:t>
      </w:r>
      <w:r w:rsidR="008874BF" w:rsidRPr="007470A8">
        <w:rPr>
          <w:rFonts w:ascii="Arial" w:hAnsi="Arial" w:cs="Arial"/>
          <w:sz w:val="20"/>
          <w:szCs w:val="20"/>
          <w:lang w:eastAsia="zh-TW"/>
        </w:rPr>
        <w:t xml:space="preserve">also </w:t>
      </w:r>
      <w:r w:rsidRPr="007470A8">
        <w:rPr>
          <w:rFonts w:ascii="Arial" w:hAnsi="Arial" w:cs="Arial"/>
          <w:sz w:val="20"/>
          <w:szCs w:val="20"/>
          <w:lang w:eastAsia="zh-TW"/>
        </w:rPr>
        <w:t>clarified that</w:t>
      </w:r>
      <w:r w:rsidR="00C33458" w:rsidRPr="007470A8">
        <w:rPr>
          <w:rFonts w:ascii="Arial" w:hAnsi="Arial" w:cs="Arial"/>
          <w:sz w:val="20"/>
          <w:szCs w:val="20"/>
          <w:lang w:eastAsia="zh-TW"/>
        </w:rPr>
        <w:t xml:space="preserve"> </w:t>
      </w:r>
      <w:r w:rsidRPr="007470A8">
        <w:rPr>
          <w:rFonts w:ascii="Arial" w:hAnsi="Arial" w:cs="Arial"/>
          <w:sz w:val="20"/>
          <w:szCs w:val="20"/>
          <w:lang w:eastAsia="zh-TW"/>
        </w:rPr>
        <w:t>voting rights attached to treasury shares will not be “voting rights” under the Takeovers Code and Share Buy-backs Code (“</w:t>
      </w:r>
      <w:r w:rsidRPr="007470A8">
        <w:rPr>
          <w:rFonts w:ascii="Arial" w:hAnsi="Arial" w:cs="Arial"/>
          <w:b/>
          <w:sz w:val="20"/>
          <w:szCs w:val="20"/>
          <w:lang w:eastAsia="zh-TW"/>
        </w:rPr>
        <w:t>Codes</w:t>
      </w:r>
      <w:r w:rsidRPr="007470A8">
        <w:rPr>
          <w:rFonts w:ascii="Arial" w:hAnsi="Arial" w:cs="Arial"/>
          <w:sz w:val="20"/>
          <w:szCs w:val="20"/>
          <w:lang w:eastAsia="zh-TW"/>
        </w:rPr>
        <w:t xml:space="preserve">”). </w:t>
      </w:r>
    </w:p>
    <w:p w14:paraId="20B6831A" w14:textId="77777777" w:rsidR="00600D4D" w:rsidRPr="007470A8" w:rsidRDefault="00600D4D" w:rsidP="004D1795">
      <w:pPr>
        <w:pStyle w:val="a5"/>
        <w:spacing w:after="0"/>
        <w:ind w:left="851"/>
        <w:jc w:val="both"/>
        <w:rPr>
          <w:rFonts w:ascii="Arial" w:hAnsi="Arial" w:cs="Arial"/>
          <w:sz w:val="20"/>
          <w:szCs w:val="20"/>
          <w:lang w:eastAsia="zh-TW"/>
        </w:rPr>
      </w:pPr>
    </w:p>
    <w:p w14:paraId="14D0462D" w14:textId="77777777" w:rsidR="00600D4D" w:rsidRPr="002B40E8" w:rsidRDefault="00DA5701" w:rsidP="004D1795">
      <w:pPr>
        <w:pStyle w:val="a5"/>
        <w:numPr>
          <w:ilvl w:val="0"/>
          <w:numId w:val="10"/>
        </w:numPr>
        <w:spacing w:after="0"/>
        <w:ind w:left="851"/>
        <w:jc w:val="both"/>
        <w:rPr>
          <w:rFonts w:ascii="Arial" w:hAnsi="Arial" w:cs="Arial"/>
          <w:b/>
          <w:sz w:val="20"/>
          <w:szCs w:val="20"/>
          <w:lang w:eastAsia="zh-TW"/>
        </w:rPr>
      </w:pPr>
      <w:r w:rsidRPr="002B40E8">
        <w:rPr>
          <w:rFonts w:ascii="Arial" w:hAnsi="Arial" w:cs="Arial"/>
          <w:b/>
          <w:sz w:val="20"/>
          <w:szCs w:val="20"/>
          <w:lang w:eastAsia="zh-TW"/>
        </w:rPr>
        <w:t xml:space="preserve">Excluding treasury shares when calculating issued shares </w:t>
      </w:r>
    </w:p>
    <w:p w14:paraId="1520FC00" w14:textId="77777777" w:rsidR="00600D4D" w:rsidRPr="007470A8" w:rsidRDefault="00600D4D" w:rsidP="004D1795">
      <w:pPr>
        <w:pStyle w:val="a5"/>
        <w:spacing w:after="0"/>
        <w:ind w:left="851"/>
        <w:jc w:val="both"/>
        <w:rPr>
          <w:rFonts w:ascii="Arial" w:hAnsi="Arial" w:cs="Arial"/>
          <w:sz w:val="20"/>
          <w:szCs w:val="20"/>
          <w:lang w:eastAsia="zh-TW"/>
        </w:rPr>
      </w:pPr>
    </w:p>
    <w:p w14:paraId="2D7042B3" w14:textId="77777777" w:rsidR="00C33458" w:rsidRPr="007470A8" w:rsidRDefault="002B40E8" w:rsidP="004D1795">
      <w:pPr>
        <w:pStyle w:val="a5"/>
        <w:spacing w:after="0"/>
        <w:ind w:left="851"/>
        <w:jc w:val="both"/>
        <w:rPr>
          <w:rFonts w:ascii="Arial" w:hAnsi="Arial" w:cs="Arial"/>
          <w:sz w:val="20"/>
          <w:szCs w:val="20"/>
          <w:lang w:eastAsia="zh-TW"/>
        </w:rPr>
      </w:pPr>
      <w:r>
        <w:rPr>
          <w:rFonts w:ascii="Arial" w:hAnsi="Arial" w:cs="Arial"/>
          <w:sz w:val="20"/>
          <w:szCs w:val="20"/>
          <w:lang w:eastAsia="zh-TW"/>
        </w:rPr>
        <w:t>S</w:t>
      </w:r>
      <w:r w:rsidRPr="007470A8">
        <w:rPr>
          <w:rFonts w:ascii="Arial" w:hAnsi="Arial" w:cs="Arial"/>
          <w:sz w:val="20"/>
          <w:szCs w:val="20"/>
          <w:lang w:eastAsia="zh-TW"/>
        </w:rPr>
        <w:t xml:space="preserve">hares held in treasury will be excluded </w:t>
      </w:r>
      <w:r>
        <w:rPr>
          <w:rFonts w:ascii="Arial" w:hAnsi="Arial" w:cs="Arial"/>
          <w:sz w:val="20"/>
          <w:szCs w:val="20"/>
          <w:lang w:eastAsia="zh-TW"/>
        </w:rPr>
        <w:t>w</w:t>
      </w:r>
      <w:r w:rsidR="00DA5701" w:rsidRPr="007470A8">
        <w:rPr>
          <w:rFonts w:ascii="Arial" w:hAnsi="Arial" w:cs="Arial"/>
          <w:sz w:val="20"/>
          <w:szCs w:val="20"/>
          <w:lang w:eastAsia="zh-TW"/>
        </w:rPr>
        <w:t>hen</w:t>
      </w:r>
      <w:r>
        <w:rPr>
          <w:rFonts w:ascii="Arial" w:hAnsi="Arial" w:cs="Arial"/>
          <w:sz w:val="20"/>
          <w:szCs w:val="20"/>
          <w:lang w:eastAsia="zh-TW"/>
        </w:rPr>
        <w:t xml:space="preserve"> calculating the listed company’</w:t>
      </w:r>
      <w:r w:rsidR="00DA5701" w:rsidRPr="007470A8">
        <w:rPr>
          <w:rFonts w:ascii="Arial" w:hAnsi="Arial" w:cs="Arial"/>
          <w:sz w:val="20"/>
          <w:szCs w:val="20"/>
          <w:lang w:eastAsia="zh-TW"/>
        </w:rPr>
        <w:t>s issued shares to determine matters such as public float, market capitalisation, mandate limits and size tests for transactions</w:t>
      </w:r>
      <w:r w:rsidR="003949C3" w:rsidRPr="007470A8">
        <w:rPr>
          <w:rFonts w:ascii="Arial" w:hAnsi="Arial" w:cs="Arial"/>
          <w:sz w:val="20"/>
          <w:szCs w:val="20"/>
          <w:lang w:eastAsia="zh-TW"/>
        </w:rPr>
        <w:t xml:space="preserve">. </w:t>
      </w:r>
      <w:r>
        <w:rPr>
          <w:rFonts w:ascii="Arial" w:hAnsi="Arial" w:cs="Arial"/>
          <w:sz w:val="20"/>
          <w:szCs w:val="20"/>
          <w:lang w:eastAsia="zh-TW"/>
        </w:rPr>
        <w:t>The HKEX reminds</w:t>
      </w:r>
      <w:r w:rsidR="00DA5701" w:rsidRPr="007470A8">
        <w:rPr>
          <w:rFonts w:ascii="Arial" w:hAnsi="Arial" w:cs="Arial"/>
          <w:sz w:val="20"/>
          <w:szCs w:val="20"/>
          <w:lang w:eastAsia="zh-TW"/>
        </w:rPr>
        <w:t xml:space="preserve"> listed companies </w:t>
      </w:r>
      <w:r>
        <w:rPr>
          <w:rFonts w:ascii="Arial" w:hAnsi="Arial" w:cs="Arial"/>
          <w:sz w:val="20"/>
          <w:szCs w:val="20"/>
          <w:lang w:eastAsia="zh-TW"/>
        </w:rPr>
        <w:t xml:space="preserve">to </w:t>
      </w:r>
      <w:r w:rsidR="00DA5701" w:rsidRPr="007470A8">
        <w:rPr>
          <w:rFonts w:ascii="Arial" w:hAnsi="Arial" w:cs="Arial"/>
          <w:sz w:val="20"/>
          <w:szCs w:val="20"/>
          <w:lang w:eastAsia="zh-TW"/>
        </w:rPr>
        <w:t xml:space="preserve">adhere to the public float requirement at all times and refrain from repurchasing their shares if the company </w:t>
      </w:r>
      <w:r>
        <w:rPr>
          <w:rFonts w:ascii="Arial" w:hAnsi="Arial" w:cs="Arial"/>
          <w:sz w:val="20"/>
          <w:szCs w:val="20"/>
          <w:lang w:eastAsia="zh-TW"/>
        </w:rPr>
        <w:t xml:space="preserve">will </w:t>
      </w:r>
      <w:r w:rsidR="00DA5701" w:rsidRPr="007470A8">
        <w:rPr>
          <w:rFonts w:ascii="Arial" w:hAnsi="Arial" w:cs="Arial"/>
          <w:sz w:val="20"/>
          <w:szCs w:val="20"/>
          <w:lang w:eastAsia="zh-TW"/>
        </w:rPr>
        <w:t>not meet the public float requirement after the share repurchase.</w:t>
      </w:r>
    </w:p>
    <w:p w14:paraId="46BB976E" w14:textId="77777777" w:rsidR="00C33458" w:rsidRPr="007470A8" w:rsidRDefault="00C33458" w:rsidP="004D1795">
      <w:pPr>
        <w:pStyle w:val="a5"/>
        <w:spacing w:after="0"/>
        <w:ind w:left="851"/>
        <w:jc w:val="both"/>
        <w:rPr>
          <w:rFonts w:ascii="Arial" w:hAnsi="Arial" w:cs="Arial"/>
          <w:sz w:val="20"/>
          <w:szCs w:val="20"/>
          <w:lang w:eastAsia="zh-TW"/>
        </w:rPr>
      </w:pPr>
    </w:p>
    <w:p w14:paraId="25AD3EF7" w14:textId="77777777" w:rsidR="00C33458" w:rsidRPr="007470A8" w:rsidRDefault="00DA5701" w:rsidP="004D1795">
      <w:pPr>
        <w:pStyle w:val="a5"/>
        <w:spacing w:after="0"/>
        <w:ind w:left="851"/>
        <w:jc w:val="both"/>
        <w:rPr>
          <w:rFonts w:ascii="Arial" w:hAnsi="Arial" w:cs="Arial"/>
          <w:sz w:val="20"/>
          <w:szCs w:val="20"/>
          <w:lang w:eastAsia="zh-TW"/>
        </w:rPr>
      </w:pPr>
      <w:r w:rsidRPr="007470A8">
        <w:rPr>
          <w:rFonts w:ascii="Arial" w:hAnsi="Arial" w:cs="Arial"/>
          <w:sz w:val="20"/>
          <w:szCs w:val="20"/>
          <w:lang w:eastAsia="zh-TW"/>
        </w:rPr>
        <w:t xml:space="preserve">In response to concerns regarding weighted voting rights, the HKEX will modify the rules to clarify that </w:t>
      </w:r>
      <w:r w:rsidR="008874BF" w:rsidRPr="007470A8">
        <w:rPr>
          <w:rFonts w:ascii="Arial" w:hAnsi="Arial" w:cs="Arial"/>
          <w:sz w:val="20"/>
          <w:szCs w:val="20"/>
          <w:lang w:eastAsia="zh-TW"/>
        </w:rPr>
        <w:t xml:space="preserve">MB </w:t>
      </w:r>
      <w:r w:rsidRPr="007470A8">
        <w:rPr>
          <w:rFonts w:ascii="Arial" w:hAnsi="Arial" w:cs="Arial"/>
          <w:sz w:val="20"/>
          <w:szCs w:val="20"/>
          <w:lang w:eastAsia="zh-TW"/>
        </w:rPr>
        <w:t xml:space="preserve">Rule 8A.15, which requires weighted voting rights beneficiaries to reduce their weighted voting rights proportionately if the repurchase would otherwise increase the proportion of their weighted voting rights, will apply when the shares are either cancelled or held in treasury. </w:t>
      </w:r>
    </w:p>
    <w:p w14:paraId="025541B5" w14:textId="77777777" w:rsidR="00600D4D" w:rsidRPr="007470A8" w:rsidRDefault="00600D4D" w:rsidP="004D1795">
      <w:pPr>
        <w:pStyle w:val="a5"/>
        <w:spacing w:after="0"/>
        <w:ind w:left="851"/>
        <w:jc w:val="both"/>
        <w:rPr>
          <w:rFonts w:ascii="Arial" w:hAnsi="Arial" w:cs="Arial"/>
          <w:sz w:val="20"/>
          <w:szCs w:val="20"/>
          <w:lang w:eastAsia="zh-TW"/>
        </w:rPr>
      </w:pPr>
    </w:p>
    <w:p w14:paraId="1BC6642B" w14:textId="77777777" w:rsidR="00C33458" w:rsidRPr="007470A8" w:rsidRDefault="00DA5701" w:rsidP="004D1795">
      <w:pPr>
        <w:pStyle w:val="a5"/>
        <w:spacing w:after="0"/>
        <w:ind w:left="851"/>
        <w:jc w:val="both"/>
        <w:rPr>
          <w:rFonts w:ascii="Arial" w:hAnsi="Arial" w:cs="Arial"/>
          <w:sz w:val="20"/>
          <w:szCs w:val="20"/>
          <w:lang w:eastAsia="zh-TW"/>
        </w:rPr>
      </w:pPr>
      <w:r w:rsidRPr="007470A8">
        <w:rPr>
          <w:rFonts w:ascii="Arial" w:hAnsi="Arial" w:cs="Arial"/>
          <w:sz w:val="20"/>
          <w:szCs w:val="20"/>
          <w:lang w:eastAsia="zh-TW"/>
        </w:rPr>
        <w:t xml:space="preserve">Regarding the difference in treatment of voting rights under the Listing Rules and the </w:t>
      </w:r>
      <w:r w:rsidR="003E2C88" w:rsidRPr="007470A8">
        <w:rPr>
          <w:rFonts w:ascii="Arial" w:hAnsi="Arial" w:cs="Arial"/>
          <w:sz w:val="20"/>
          <w:szCs w:val="20"/>
          <w:lang w:eastAsia="zh-TW"/>
        </w:rPr>
        <w:t>Securities and Futures Ordinance (Cap. 571) (</w:t>
      </w:r>
      <w:r w:rsidRPr="007470A8">
        <w:rPr>
          <w:rFonts w:ascii="Arial" w:hAnsi="Arial" w:cs="Arial"/>
          <w:b/>
          <w:sz w:val="20"/>
          <w:szCs w:val="20"/>
          <w:lang w:eastAsia="zh-TW"/>
        </w:rPr>
        <w:t>SFO</w:t>
      </w:r>
      <w:r w:rsidR="003E2C88" w:rsidRPr="007470A8">
        <w:rPr>
          <w:rFonts w:ascii="Arial" w:hAnsi="Arial" w:cs="Arial"/>
          <w:sz w:val="20"/>
          <w:szCs w:val="20"/>
          <w:lang w:eastAsia="zh-TW"/>
        </w:rPr>
        <w:t>)</w:t>
      </w:r>
      <w:r w:rsidRPr="007470A8">
        <w:rPr>
          <w:rFonts w:ascii="Arial" w:hAnsi="Arial" w:cs="Arial"/>
          <w:sz w:val="20"/>
          <w:szCs w:val="20"/>
          <w:lang w:eastAsia="zh-TW"/>
        </w:rPr>
        <w:t>, after reviewing the responses, the Securities and Futures Commission (</w:t>
      </w:r>
      <w:r w:rsidRPr="007470A8">
        <w:rPr>
          <w:rFonts w:ascii="Arial" w:hAnsi="Arial" w:cs="Arial"/>
          <w:b/>
          <w:sz w:val="20"/>
          <w:szCs w:val="20"/>
          <w:lang w:eastAsia="zh-TW"/>
        </w:rPr>
        <w:t>SFC</w:t>
      </w:r>
      <w:r w:rsidRPr="007470A8">
        <w:rPr>
          <w:rFonts w:ascii="Arial" w:hAnsi="Arial" w:cs="Arial"/>
          <w:sz w:val="20"/>
          <w:szCs w:val="20"/>
          <w:lang w:eastAsia="zh-TW"/>
        </w:rPr>
        <w:t>) has decided to maintain the current position</w:t>
      </w:r>
      <w:r w:rsidR="00F87AA2">
        <w:rPr>
          <w:rFonts w:ascii="Arial" w:hAnsi="Arial" w:cs="Arial"/>
          <w:sz w:val="20"/>
          <w:szCs w:val="20"/>
          <w:lang w:eastAsia="zh-TW"/>
        </w:rPr>
        <w:t>. As a result,</w:t>
      </w:r>
      <w:r w:rsidRPr="007470A8">
        <w:rPr>
          <w:rFonts w:ascii="Arial" w:hAnsi="Arial" w:cs="Arial"/>
          <w:sz w:val="20"/>
          <w:szCs w:val="20"/>
          <w:lang w:eastAsia="zh-TW"/>
        </w:rPr>
        <w:t xml:space="preserve"> treasury shares will remain part of an issuer’s issued voting shares, </w:t>
      </w:r>
      <w:r w:rsidR="00F87AA2">
        <w:rPr>
          <w:rFonts w:ascii="Arial" w:hAnsi="Arial" w:cs="Arial"/>
          <w:sz w:val="20"/>
          <w:szCs w:val="20"/>
          <w:lang w:eastAsia="zh-TW"/>
        </w:rPr>
        <w:t xml:space="preserve">according </w:t>
      </w:r>
      <w:r w:rsidRPr="007470A8">
        <w:rPr>
          <w:rFonts w:ascii="Arial" w:hAnsi="Arial" w:cs="Arial"/>
          <w:sz w:val="20"/>
          <w:szCs w:val="20"/>
          <w:lang w:eastAsia="zh-TW"/>
        </w:rPr>
        <w:t>to the definition under section 308(1) of the SFO, on the basis that voting rights attached to treasury shares are temporarily suspended</w:t>
      </w:r>
      <w:r w:rsidR="00F87AA2">
        <w:rPr>
          <w:rFonts w:ascii="Arial" w:hAnsi="Arial" w:cs="Arial"/>
          <w:sz w:val="20"/>
          <w:szCs w:val="20"/>
          <w:lang w:eastAsia="zh-TW"/>
        </w:rPr>
        <w:t xml:space="preserve">. </w:t>
      </w:r>
    </w:p>
    <w:p w14:paraId="24FD8DEE" w14:textId="77777777" w:rsidR="00C33458" w:rsidRPr="007470A8" w:rsidRDefault="00C33458" w:rsidP="004D1795">
      <w:pPr>
        <w:pStyle w:val="a5"/>
        <w:spacing w:after="0"/>
        <w:ind w:left="851"/>
        <w:jc w:val="both"/>
        <w:rPr>
          <w:rFonts w:ascii="Arial" w:hAnsi="Arial" w:cs="Arial"/>
          <w:sz w:val="20"/>
          <w:szCs w:val="20"/>
          <w:lang w:eastAsia="zh-TW"/>
        </w:rPr>
      </w:pPr>
    </w:p>
    <w:p w14:paraId="2E3AB8CE" w14:textId="77777777" w:rsidR="007011C8" w:rsidRPr="007470A8" w:rsidRDefault="00DA5701" w:rsidP="004D1795">
      <w:pPr>
        <w:pStyle w:val="a5"/>
        <w:numPr>
          <w:ilvl w:val="0"/>
          <w:numId w:val="10"/>
        </w:numPr>
        <w:spacing w:after="0"/>
        <w:ind w:left="851"/>
        <w:jc w:val="both"/>
        <w:rPr>
          <w:rFonts w:ascii="Arial" w:hAnsi="Arial" w:cs="Arial"/>
          <w:i/>
          <w:sz w:val="20"/>
          <w:szCs w:val="20"/>
          <w:u w:val="single"/>
          <w:lang w:eastAsia="zh-TW"/>
        </w:rPr>
      </w:pPr>
      <w:r w:rsidRPr="00F87AA2">
        <w:rPr>
          <w:rFonts w:ascii="Arial" w:hAnsi="Arial" w:cs="Arial"/>
          <w:b/>
          <w:sz w:val="20"/>
          <w:szCs w:val="20"/>
          <w:lang w:eastAsia="zh-TW"/>
        </w:rPr>
        <w:t>Disclosure of the listed company’s intention to hold treasury shares</w:t>
      </w:r>
    </w:p>
    <w:p w14:paraId="1DD08C68" w14:textId="77777777" w:rsidR="00C33458" w:rsidRPr="007470A8" w:rsidRDefault="00C33458" w:rsidP="004D1795">
      <w:pPr>
        <w:pStyle w:val="a5"/>
        <w:spacing w:after="0"/>
        <w:ind w:left="851"/>
        <w:jc w:val="both"/>
        <w:rPr>
          <w:rFonts w:ascii="Arial" w:hAnsi="Arial" w:cs="Arial"/>
          <w:sz w:val="20"/>
          <w:szCs w:val="20"/>
          <w:lang w:eastAsia="zh-TW"/>
        </w:rPr>
      </w:pPr>
    </w:p>
    <w:p w14:paraId="64A735E4" w14:textId="77777777" w:rsidR="006770D1" w:rsidRPr="007470A8" w:rsidRDefault="007458D1" w:rsidP="004D1795">
      <w:pPr>
        <w:pStyle w:val="a5"/>
        <w:spacing w:after="0"/>
        <w:ind w:left="851"/>
        <w:jc w:val="both"/>
        <w:rPr>
          <w:rFonts w:ascii="Arial" w:hAnsi="Arial" w:cs="Arial"/>
          <w:sz w:val="20"/>
          <w:szCs w:val="20"/>
          <w:lang w:eastAsia="zh-TW"/>
        </w:rPr>
      </w:pPr>
      <w:r>
        <w:rPr>
          <w:rFonts w:ascii="Arial" w:hAnsi="Arial" w:cs="Arial"/>
          <w:sz w:val="20"/>
          <w:szCs w:val="20"/>
        </w:rPr>
        <w:t>MB</w:t>
      </w:r>
      <w:r w:rsidRPr="007470A8">
        <w:rPr>
          <w:rFonts w:ascii="Arial" w:hAnsi="Arial" w:cs="Arial"/>
          <w:sz w:val="20"/>
          <w:szCs w:val="20"/>
          <w:lang w:eastAsia="zh-TW"/>
        </w:rPr>
        <w:t xml:space="preserve"> </w:t>
      </w:r>
      <w:r w:rsidR="00DA5701" w:rsidRPr="007470A8">
        <w:rPr>
          <w:rFonts w:ascii="Arial" w:hAnsi="Arial" w:cs="Arial"/>
          <w:sz w:val="20"/>
          <w:szCs w:val="20"/>
          <w:lang w:eastAsia="zh-TW"/>
        </w:rPr>
        <w:t>Rule 10.06(1)</w:t>
      </w:r>
      <w:r w:rsidR="00912388" w:rsidRPr="007470A8">
        <w:rPr>
          <w:rFonts w:ascii="Arial" w:hAnsi="Arial" w:cs="Arial"/>
          <w:sz w:val="20"/>
          <w:szCs w:val="20"/>
          <w:lang w:eastAsia="zh-TW"/>
        </w:rPr>
        <w:t>(b)</w:t>
      </w:r>
      <w:r w:rsidR="00DA5701" w:rsidRPr="007470A8">
        <w:rPr>
          <w:rStyle w:val="a8"/>
          <w:rFonts w:ascii="Arial" w:hAnsi="Arial" w:cs="Arial"/>
          <w:sz w:val="20"/>
          <w:szCs w:val="20"/>
          <w:lang w:eastAsia="zh-TW"/>
        </w:rPr>
        <w:footnoteReference w:id="25"/>
      </w:r>
      <w:r w:rsidR="00912388" w:rsidRPr="007470A8">
        <w:rPr>
          <w:rFonts w:ascii="Arial" w:hAnsi="Arial" w:cs="Arial"/>
          <w:sz w:val="20"/>
          <w:szCs w:val="20"/>
          <w:lang w:eastAsia="zh-TW"/>
        </w:rPr>
        <w:t xml:space="preserve"> will </w:t>
      </w:r>
      <w:r w:rsidR="00DA5701" w:rsidRPr="007470A8">
        <w:rPr>
          <w:rFonts w:ascii="Arial" w:hAnsi="Arial" w:cs="Arial"/>
          <w:sz w:val="20"/>
          <w:szCs w:val="20"/>
          <w:lang w:eastAsia="zh-TW"/>
        </w:rPr>
        <w:t xml:space="preserve">be amended to state that listed companies must include their intention to cancel the repurchased shares or hold them in treasury in the explanatory statement for the proposed repurchase mandate. </w:t>
      </w:r>
    </w:p>
    <w:p w14:paraId="7DCB49EF" w14:textId="77777777" w:rsidR="006770D1" w:rsidRPr="007470A8" w:rsidRDefault="006770D1" w:rsidP="004D1795">
      <w:pPr>
        <w:pStyle w:val="a5"/>
        <w:spacing w:after="0"/>
        <w:ind w:left="851"/>
        <w:jc w:val="both"/>
        <w:rPr>
          <w:rFonts w:ascii="Arial" w:hAnsi="Arial" w:cs="Arial"/>
          <w:sz w:val="20"/>
          <w:szCs w:val="20"/>
          <w:lang w:eastAsia="zh-TW"/>
        </w:rPr>
      </w:pPr>
    </w:p>
    <w:p w14:paraId="7AE05B6B" w14:textId="77777777" w:rsidR="006770D1" w:rsidRDefault="00DA5701" w:rsidP="004D1795">
      <w:pPr>
        <w:pStyle w:val="a5"/>
        <w:spacing w:after="0"/>
        <w:ind w:left="851"/>
        <w:jc w:val="both"/>
        <w:rPr>
          <w:rFonts w:ascii="Arial" w:hAnsi="Arial" w:cs="Arial"/>
          <w:sz w:val="20"/>
          <w:szCs w:val="20"/>
          <w:lang w:eastAsia="zh-TW"/>
        </w:rPr>
      </w:pPr>
      <w:r w:rsidRPr="007470A8">
        <w:rPr>
          <w:rFonts w:ascii="Arial" w:hAnsi="Arial" w:cs="Arial"/>
          <w:sz w:val="20"/>
          <w:szCs w:val="20"/>
          <w:lang w:eastAsia="zh-TW"/>
        </w:rPr>
        <w:t xml:space="preserve">A majority of respondents opined that more flexibility should be given to listed companies to decide whether to cancel the repurchased shares or hold them in treasury depending on the actual circumstances at the time of the repurchase. </w:t>
      </w:r>
      <w:r w:rsidR="00E50B02" w:rsidRPr="007470A8">
        <w:rPr>
          <w:rFonts w:ascii="Arial" w:hAnsi="Arial" w:cs="Arial"/>
          <w:sz w:val="20"/>
          <w:szCs w:val="20"/>
          <w:lang w:eastAsia="zh-TW"/>
        </w:rPr>
        <w:t>The</w:t>
      </w:r>
      <w:r w:rsidRPr="007470A8">
        <w:rPr>
          <w:rFonts w:ascii="Arial" w:hAnsi="Arial" w:cs="Arial"/>
          <w:sz w:val="20"/>
          <w:szCs w:val="20"/>
          <w:lang w:eastAsia="zh-TW"/>
        </w:rPr>
        <w:t xml:space="preserve"> HKEX clarified</w:t>
      </w:r>
      <w:r w:rsidR="00E50B02" w:rsidRPr="007470A8">
        <w:rPr>
          <w:rFonts w:ascii="Arial" w:hAnsi="Arial" w:cs="Arial"/>
          <w:sz w:val="20"/>
          <w:szCs w:val="20"/>
          <w:lang w:eastAsia="zh-TW"/>
        </w:rPr>
        <w:t xml:space="preserve"> in the consultation conclusions</w:t>
      </w:r>
      <w:r w:rsidRPr="007470A8">
        <w:rPr>
          <w:rFonts w:ascii="Arial" w:hAnsi="Arial" w:cs="Arial"/>
          <w:sz w:val="20"/>
          <w:szCs w:val="20"/>
          <w:lang w:eastAsia="zh-TW"/>
        </w:rPr>
        <w:t xml:space="preserve"> that disclosure of the intention statement would not preclude the listed company from subsequently </w:t>
      </w:r>
      <w:r w:rsidR="00E50B02" w:rsidRPr="007470A8">
        <w:rPr>
          <w:rFonts w:ascii="Arial" w:hAnsi="Arial" w:cs="Arial"/>
          <w:sz w:val="20"/>
          <w:szCs w:val="20"/>
          <w:lang w:eastAsia="zh-TW"/>
        </w:rPr>
        <w:t>changing its decision</w:t>
      </w:r>
      <w:r w:rsidRPr="007470A8">
        <w:rPr>
          <w:rFonts w:ascii="Arial" w:hAnsi="Arial" w:cs="Arial"/>
          <w:sz w:val="20"/>
          <w:szCs w:val="20"/>
          <w:lang w:eastAsia="zh-TW"/>
        </w:rPr>
        <w:t xml:space="preserve"> and the HKEX will make the foll</w:t>
      </w:r>
      <w:r w:rsidR="00F87AA2">
        <w:rPr>
          <w:rFonts w:ascii="Arial" w:hAnsi="Arial" w:cs="Arial"/>
          <w:sz w:val="20"/>
          <w:szCs w:val="20"/>
          <w:lang w:eastAsia="zh-TW"/>
        </w:rPr>
        <w:t>owing amendments to the proposed Listing Rule changes</w:t>
      </w:r>
      <w:r w:rsidRPr="007470A8">
        <w:rPr>
          <w:rFonts w:ascii="Arial" w:hAnsi="Arial" w:cs="Arial"/>
          <w:sz w:val="20"/>
          <w:szCs w:val="20"/>
          <w:lang w:eastAsia="zh-TW"/>
        </w:rPr>
        <w:t xml:space="preserve">: </w:t>
      </w:r>
    </w:p>
    <w:p w14:paraId="0C2012FB" w14:textId="77777777" w:rsidR="00F87AA2" w:rsidRPr="007470A8" w:rsidRDefault="00F87AA2" w:rsidP="004D1795">
      <w:pPr>
        <w:pStyle w:val="a5"/>
        <w:spacing w:after="0"/>
        <w:ind w:left="851"/>
        <w:jc w:val="both"/>
        <w:rPr>
          <w:rFonts w:ascii="Arial" w:hAnsi="Arial" w:cs="Arial"/>
          <w:sz w:val="20"/>
          <w:szCs w:val="20"/>
          <w:lang w:eastAsia="zh-TW"/>
        </w:rPr>
      </w:pPr>
    </w:p>
    <w:p w14:paraId="4584EB71" w14:textId="77777777" w:rsidR="00E50B02" w:rsidRDefault="00DA5701" w:rsidP="004662DF">
      <w:pPr>
        <w:pStyle w:val="a5"/>
        <w:numPr>
          <w:ilvl w:val="0"/>
          <w:numId w:val="11"/>
        </w:numPr>
        <w:spacing w:after="0"/>
        <w:ind w:left="1701" w:hanging="567"/>
        <w:jc w:val="both"/>
        <w:rPr>
          <w:rFonts w:ascii="Arial" w:hAnsi="Arial" w:cs="Arial"/>
          <w:sz w:val="20"/>
          <w:szCs w:val="20"/>
          <w:lang w:eastAsia="zh-TW"/>
        </w:rPr>
      </w:pPr>
      <w:r w:rsidRPr="007470A8">
        <w:rPr>
          <w:rFonts w:ascii="Arial" w:hAnsi="Arial" w:cs="Arial"/>
          <w:sz w:val="20"/>
          <w:szCs w:val="20"/>
          <w:lang w:eastAsia="zh-TW"/>
        </w:rPr>
        <w:t xml:space="preserve">Under MB Rule </w:t>
      </w:r>
      <w:r w:rsidRPr="007470A8">
        <w:rPr>
          <w:rFonts w:ascii="Arial" w:hAnsi="Arial" w:cs="Arial"/>
          <w:sz w:val="20"/>
          <w:szCs w:val="20"/>
        </w:rPr>
        <w:t>10.06(4)(a)</w:t>
      </w:r>
      <w:r w:rsidR="00F87AA2">
        <w:rPr>
          <w:rFonts w:ascii="Arial" w:hAnsi="Arial" w:cs="Arial"/>
          <w:sz w:val="20"/>
          <w:szCs w:val="20"/>
        </w:rPr>
        <w:t>,</w:t>
      </w:r>
      <w:r w:rsidRPr="007470A8">
        <w:rPr>
          <w:rStyle w:val="a8"/>
          <w:rFonts w:ascii="Arial" w:hAnsi="Arial" w:cs="Arial"/>
          <w:sz w:val="20"/>
          <w:szCs w:val="20"/>
          <w:lang w:eastAsia="zh-TW"/>
        </w:rPr>
        <w:t xml:space="preserve"> </w:t>
      </w:r>
      <w:r w:rsidRPr="007470A8">
        <w:rPr>
          <w:rStyle w:val="a8"/>
          <w:rFonts w:ascii="Arial" w:hAnsi="Arial" w:cs="Arial"/>
          <w:sz w:val="20"/>
          <w:szCs w:val="20"/>
          <w:lang w:eastAsia="zh-TW"/>
        </w:rPr>
        <w:footnoteReference w:id="26"/>
      </w:r>
      <w:r w:rsidRPr="007470A8">
        <w:rPr>
          <w:rFonts w:ascii="Arial" w:hAnsi="Arial" w:cs="Arial"/>
          <w:sz w:val="20"/>
          <w:szCs w:val="20"/>
        </w:rPr>
        <w:t xml:space="preserve"> </w:t>
      </w:r>
      <w:r w:rsidRPr="007470A8">
        <w:rPr>
          <w:rFonts w:ascii="Arial" w:hAnsi="Arial" w:cs="Arial"/>
          <w:sz w:val="20"/>
          <w:szCs w:val="20"/>
          <w:lang w:eastAsia="zh-TW"/>
        </w:rPr>
        <w:t xml:space="preserve">in the relevant disclosure in the next day disclosure return, the listed company </w:t>
      </w:r>
      <w:r w:rsidR="00F87AA2">
        <w:rPr>
          <w:rFonts w:ascii="Arial" w:hAnsi="Arial" w:cs="Arial"/>
          <w:sz w:val="20"/>
          <w:szCs w:val="20"/>
          <w:lang w:eastAsia="zh-TW"/>
        </w:rPr>
        <w:t xml:space="preserve">will be required to </w:t>
      </w:r>
      <w:r w:rsidRPr="007470A8">
        <w:rPr>
          <w:rFonts w:ascii="Arial" w:hAnsi="Arial" w:cs="Arial"/>
          <w:sz w:val="20"/>
          <w:szCs w:val="20"/>
          <w:lang w:eastAsia="zh-TW"/>
        </w:rPr>
        <w:t xml:space="preserve">disclose the respective number of shares to be cancelled or held in treasury after the repurchase. If applicable, listed companies should </w:t>
      </w:r>
      <w:r w:rsidRPr="007470A8">
        <w:rPr>
          <w:rFonts w:ascii="Arial" w:hAnsi="Arial" w:cs="Arial"/>
          <w:sz w:val="20"/>
          <w:szCs w:val="20"/>
          <w:lang w:eastAsia="zh-TW"/>
        </w:rPr>
        <w:lastRenderedPageBreak/>
        <w:t xml:space="preserve">also disclose reasons for any discrepancies between the new arrangements and those already disclosed in the explanatory statement; </w:t>
      </w:r>
    </w:p>
    <w:p w14:paraId="17493A1A" w14:textId="77777777" w:rsidR="00CA5F05" w:rsidRPr="007470A8" w:rsidRDefault="00CA5F05" w:rsidP="004662DF">
      <w:pPr>
        <w:pStyle w:val="a5"/>
        <w:spacing w:after="0"/>
        <w:ind w:left="1701" w:hanging="567"/>
        <w:jc w:val="both"/>
        <w:rPr>
          <w:rFonts w:ascii="Arial" w:hAnsi="Arial" w:cs="Arial"/>
          <w:sz w:val="20"/>
          <w:szCs w:val="20"/>
          <w:lang w:eastAsia="zh-TW"/>
        </w:rPr>
      </w:pPr>
    </w:p>
    <w:p w14:paraId="6F46A812" w14:textId="77777777" w:rsidR="006770D1" w:rsidRDefault="00CA5F05" w:rsidP="004662DF">
      <w:pPr>
        <w:pStyle w:val="a5"/>
        <w:numPr>
          <w:ilvl w:val="0"/>
          <w:numId w:val="11"/>
        </w:numPr>
        <w:spacing w:after="0"/>
        <w:ind w:left="1701" w:hanging="567"/>
        <w:jc w:val="both"/>
        <w:rPr>
          <w:rFonts w:ascii="Arial" w:hAnsi="Arial" w:cs="Arial"/>
          <w:sz w:val="20"/>
          <w:szCs w:val="20"/>
          <w:lang w:eastAsia="zh-TW"/>
        </w:rPr>
      </w:pPr>
      <w:r>
        <w:rPr>
          <w:rFonts w:ascii="Arial" w:hAnsi="Arial" w:cs="Arial"/>
          <w:sz w:val="20"/>
          <w:szCs w:val="20"/>
          <w:lang w:eastAsia="zh-TW"/>
        </w:rPr>
        <w:t>a</w:t>
      </w:r>
      <w:r w:rsidR="00DA5701" w:rsidRPr="007470A8">
        <w:rPr>
          <w:rFonts w:ascii="Arial" w:hAnsi="Arial" w:cs="Arial"/>
          <w:sz w:val="20"/>
          <w:szCs w:val="20"/>
          <w:lang w:eastAsia="zh-TW"/>
        </w:rPr>
        <w:t xml:space="preserve">mendments to </w:t>
      </w:r>
      <w:r w:rsidR="007458D1">
        <w:rPr>
          <w:rFonts w:ascii="Arial" w:hAnsi="Arial" w:cs="Arial"/>
          <w:sz w:val="20"/>
          <w:szCs w:val="20"/>
        </w:rPr>
        <w:t>MB</w:t>
      </w:r>
      <w:r w:rsidR="007458D1" w:rsidRPr="007470A8">
        <w:rPr>
          <w:rFonts w:ascii="Arial" w:hAnsi="Arial" w:cs="Arial"/>
          <w:sz w:val="20"/>
          <w:szCs w:val="20"/>
          <w:lang w:eastAsia="zh-TW"/>
        </w:rPr>
        <w:t xml:space="preserve"> </w:t>
      </w:r>
      <w:r w:rsidR="00DA5701" w:rsidRPr="007470A8">
        <w:rPr>
          <w:rFonts w:ascii="Arial" w:hAnsi="Arial" w:cs="Arial"/>
          <w:sz w:val="20"/>
          <w:szCs w:val="20"/>
          <w:lang w:eastAsia="zh-TW"/>
        </w:rPr>
        <w:t>Rule 13.25A(2)(b)</w:t>
      </w:r>
      <w:r w:rsidR="000D5196" w:rsidRPr="007470A8">
        <w:rPr>
          <w:rFonts w:ascii="Arial" w:hAnsi="Arial" w:cs="Arial"/>
          <w:sz w:val="20"/>
          <w:szCs w:val="20"/>
          <w:lang w:eastAsia="zh-TW"/>
        </w:rPr>
        <w:t>(iv)</w:t>
      </w:r>
      <w:r w:rsidR="00DA5701" w:rsidRPr="007470A8">
        <w:rPr>
          <w:rStyle w:val="a8"/>
          <w:rFonts w:ascii="Arial" w:hAnsi="Arial" w:cs="Arial"/>
          <w:sz w:val="20"/>
          <w:szCs w:val="20"/>
          <w:lang w:eastAsia="zh-TW"/>
        </w:rPr>
        <w:footnoteReference w:id="27"/>
      </w:r>
      <w:r w:rsidR="00DA5701" w:rsidRPr="007470A8">
        <w:rPr>
          <w:rFonts w:ascii="Arial" w:hAnsi="Arial" w:cs="Arial"/>
          <w:sz w:val="20"/>
          <w:szCs w:val="20"/>
          <w:lang w:eastAsia="zh-TW"/>
        </w:rPr>
        <w:t xml:space="preserve"> will </w:t>
      </w:r>
      <w:r w:rsidR="000D5196" w:rsidRPr="007470A8">
        <w:rPr>
          <w:rFonts w:ascii="Arial" w:hAnsi="Arial" w:cs="Arial"/>
          <w:sz w:val="20"/>
          <w:szCs w:val="20"/>
          <w:lang w:eastAsia="zh-TW"/>
        </w:rPr>
        <w:t>oblige</w:t>
      </w:r>
      <w:r w:rsidR="00C95F1E" w:rsidRPr="007470A8">
        <w:rPr>
          <w:rFonts w:ascii="Arial" w:hAnsi="Arial" w:cs="Arial"/>
          <w:sz w:val="20"/>
          <w:szCs w:val="20"/>
          <w:lang w:eastAsia="zh-TW"/>
        </w:rPr>
        <w:t xml:space="preserve"> </w:t>
      </w:r>
      <w:r w:rsidR="00DA5701" w:rsidRPr="007470A8">
        <w:rPr>
          <w:rFonts w:ascii="Arial" w:hAnsi="Arial" w:cs="Arial"/>
          <w:sz w:val="20"/>
          <w:szCs w:val="20"/>
          <w:lang w:eastAsia="zh-TW"/>
        </w:rPr>
        <w:t xml:space="preserve">listed companies to report </w:t>
      </w:r>
      <w:r w:rsidR="00F87AA2">
        <w:rPr>
          <w:rFonts w:ascii="Arial" w:hAnsi="Arial" w:cs="Arial"/>
          <w:sz w:val="20"/>
          <w:szCs w:val="20"/>
          <w:lang w:eastAsia="zh-TW"/>
        </w:rPr>
        <w:t xml:space="preserve">the </w:t>
      </w:r>
      <w:r w:rsidR="00DA5701" w:rsidRPr="007470A8">
        <w:rPr>
          <w:rFonts w:ascii="Arial" w:hAnsi="Arial" w:cs="Arial"/>
          <w:sz w:val="20"/>
          <w:szCs w:val="20"/>
          <w:lang w:eastAsia="zh-TW"/>
        </w:rPr>
        <w:t>cancellation of treasury shares in</w:t>
      </w:r>
      <w:r w:rsidR="00F87AA2">
        <w:rPr>
          <w:rFonts w:ascii="Arial" w:hAnsi="Arial" w:cs="Arial"/>
          <w:sz w:val="20"/>
          <w:szCs w:val="20"/>
          <w:lang w:eastAsia="zh-TW"/>
        </w:rPr>
        <w:t xml:space="preserve"> the next day disclosure return</w:t>
      </w:r>
      <w:r w:rsidR="00DA5701" w:rsidRPr="007470A8">
        <w:rPr>
          <w:rFonts w:ascii="Arial" w:hAnsi="Arial" w:cs="Arial"/>
          <w:sz w:val="20"/>
          <w:szCs w:val="20"/>
          <w:lang w:eastAsia="zh-TW"/>
        </w:rPr>
        <w:t xml:space="preserve"> </w:t>
      </w:r>
      <w:r w:rsidR="000D5196" w:rsidRPr="007470A8">
        <w:rPr>
          <w:rFonts w:ascii="Arial" w:hAnsi="Arial" w:cs="Arial"/>
          <w:sz w:val="20"/>
          <w:szCs w:val="20"/>
          <w:lang w:eastAsia="zh-TW"/>
        </w:rPr>
        <w:t xml:space="preserve">in certain situations; </w:t>
      </w:r>
      <w:r w:rsidR="00531011">
        <w:rPr>
          <w:rFonts w:ascii="Arial" w:hAnsi="Arial" w:cs="Arial"/>
          <w:sz w:val="20"/>
          <w:szCs w:val="20"/>
          <w:lang w:eastAsia="zh-TW"/>
        </w:rPr>
        <w:t>and</w:t>
      </w:r>
    </w:p>
    <w:p w14:paraId="04AAB653" w14:textId="77777777" w:rsidR="00CA5F05" w:rsidRPr="00CA5F05" w:rsidRDefault="00CA5F05" w:rsidP="004662DF">
      <w:pPr>
        <w:spacing w:after="0"/>
        <w:ind w:left="1701" w:hanging="567"/>
        <w:jc w:val="both"/>
        <w:rPr>
          <w:rFonts w:ascii="Arial" w:hAnsi="Arial" w:cs="Arial"/>
          <w:sz w:val="20"/>
          <w:szCs w:val="20"/>
          <w:lang w:eastAsia="zh-TW"/>
        </w:rPr>
      </w:pPr>
    </w:p>
    <w:p w14:paraId="24214454" w14:textId="77777777" w:rsidR="00663ED5" w:rsidRPr="00CA5F05" w:rsidRDefault="00DA5701" w:rsidP="004662DF">
      <w:pPr>
        <w:pStyle w:val="a5"/>
        <w:numPr>
          <w:ilvl w:val="0"/>
          <w:numId w:val="11"/>
        </w:numPr>
        <w:spacing w:after="0"/>
        <w:ind w:left="1701" w:hanging="567"/>
        <w:jc w:val="both"/>
        <w:rPr>
          <w:rFonts w:ascii="Arial" w:hAnsi="Arial" w:cs="Arial"/>
          <w:sz w:val="20"/>
          <w:szCs w:val="20"/>
          <w:lang w:eastAsia="zh-TW"/>
        </w:rPr>
      </w:pPr>
      <w:r w:rsidRPr="007470A8">
        <w:rPr>
          <w:rFonts w:ascii="Arial" w:hAnsi="Arial" w:cs="Arial"/>
          <w:sz w:val="20"/>
          <w:szCs w:val="20"/>
          <w:lang w:eastAsia="zh-TW"/>
        </w:rPr>
        <w:t xml:space="preserve">the number of treasury shares held as of the year end date and their intended use </w:t>
      </w:r>
      <w:r w:rsidR="00F87AA2">
        <w:rPr>
          <w:rFonts w:ascii="Arial" w:hAnsi="Arial" w:cs="Arial"/>
          <w:sz w:val="20"/>
          <w:szCs w:val="20"/>
          <w:lang w:eastAsia="zh-TW"/>
        </w:rPr>
        <w:t xml:space="preserve">must </w:t>
      </w:r>
      <w:r w:rsidRPr="007470A8">
        <w:rPr>
          <w:rFonts w:ascii="Arial" w:hAnsi="Arial" w:cs="Arial"/>
          <w:sz w:val="20"/>
          <w:szCs w:val="20"/>
          <w:lang w:eastAsia="zh-TW"/>
        </w:rPr>
        <w:t>be di</w:t>
      </w:r>
      <w:r w:rsidR="00CA5F05">
        <w:rPr>
          <w:rFonts w:ascii="Arial" w:hAnsi="Arial" w:cs="Arial"/>
          <w:sz w:val="20"/>
          <w:szCs w:val="20"/>
          <w:lang w:eastAsia="zh-TW"/>
        </w:rPr>
        <w:t xml:space="preserve">sclosed in </w:t>
      </w:r>
      <w:r w:rsidR="00F87AA2">
        <w:rPr>
          <w:rFonts w:ascii="Arial" w:hAnsi="Arial" w:cs="Arial"/>
          <w:sz w:val="20"/>
          <w:szCs w:val="20"/>
          <w:lang w:eastAsia="zh-TW"/>
        </w:rPr>
        <w:t xml:space="preserve">listed companies’ </w:t>
      </w:r>
      <w:r w:rsidR="00CA5F05">
        <w:rPr>
          <w:rFonts w:ascii="Arial" w:hAnsi="Arial" w:cs="Arial"/>
          <w:sz w:val="20"/>
          <w:szCs w:val="20"/>
          <w:lang w:eastAsia="zh-TW"/>
        </w:rPr>
        <w:t>annual reports</w:t>
      </w:r>
      <w:r w:rsidR="00531011">
        <w:rPr>
          <w:rFonts w:ascii="Arial" w:hAnsi="Arial" w:cs="Arial"/>
          <w:sz w:val="20"/>
          <w:szCs w:val="20"/>
          <w:lang w:eastAsia="zh-TW"/>
        </w:rPr>
        <w:t>.</w:t>
      </w:r>
    </w:p>
    <w:p w14:paraId="2B470A82" w14:textId="77777777" w:rsidR="00663ED5" w:rsidRPr="007470A8" w:rsidRDefault="00663ED5" w:rsidP="004D1795">
      <w:pPr>
        <w:pStyle w:val="a5"/>
        <w:spacing w:after="0"/>
        <w:ind w:left="1571"/>
        <w:jc w:val="both"/>
        <w:rPr>
          <w:rFonts w:ascii="Arial" w:hAnsi="Arial" w:cs="Arial"/>
          <w:sz w:val="20"/>
          <w:szCs w:val="20"/>
          <w:lang w:eastAsia="zh-TW"/>
        </w:rPr>
      </w:pPr>
    </w:p>
    <w:p w14:paraId="5F6AD559" w14:textId="77777777" w:rsidR="006770D1" w:rsidRPr="00F87AA2" w:rsidRDefault="00DA5701" w:rsidP="004D1795">
      <w:pPr>
        <w:pStyle w:val="a5"/>
        <w:numPr>
          <w:ilvl w:val="0"/>
          <w:numId w:val="10"/>
        </w:numPr>
        <w:spacing w:after="0"/>
        <w:ind w:left="851"/>
        <w:jc w:val="both"/>
        <w:rPr>
          <w:rFonts w:ascii="Arial" w:hAnsi="Arial" w:cs="Arial"/>
          <w:b/>
          <w:sz w:val="20"/>
          <w:szCs w:val="20"/>
          <w:lang w:eastAsia="zh-TW"/>
        </w:rPr>
      </w:pPr>
      <w:r w:rsidRPr="00F87AA2">
        <w:rPr>
          <w:rFonts w:ascii="Arial" w:hAnsi="Arial" w:cs="Arial"/>
          <w:b/>
          <w:sz w:val="20"/>
          <w:szCs w:val="20"/>
          <w:lang w:eastAsia="zh-TW"/>
        </w:rPr>
        <w:t xml:space="preserve">Resale of  treasury shares through agents or nominees </w:t>
      </w:r>
    </w:p>
    <w:p w14:paraId="2087930C" w14:textId="77777777" w:rsidR="006770D1" w:rsidRPr="007470A8" w:rsidRDefault="006770D1" w:rsidP="004D1795">
      <w:pPr>
        <w:pStyle w:val="a5"/>
        <w:spacing w:after="0"/>
        <w:ind w:left="851"/>
        <w:jc w:val="both"/>
        <w:rPr>
          <w:rFonts w:ascii="Arial" w:hAnsi="Arial" w:cs="Arial"/>
          <w:sz w:val="20"/>
          <w:szCs w:val="20"/>
          <w:lang w:eastAsia="zh-TW"/>
        </w:rPr>
      </w:pPr>
    </w:p>
    <w:p w14:paraId="0C20F36D" w14:textId="77777777" w:rsidR="00DA2522" w:rsidRPr="007470A8" w:rsidRDefault="00DA5701" w:rsidP="004D1795">
      <w:pPr>
        <w:pStyle w:val="a5"/>
        <w:spacing w:after="0"/>
        <w:ind w:left="851"/>
        <w:jc w:val="both"/>
        <w:rPr>
          <w:rFonts w:ascii="Arial" w:hAnsi="Arial" w:cs="Arial"/>
          <w:sz w:val="20"/>
          <w:szCs w:val="20"/>
          <w:lang w:eastAsia="zh-TW"/>
        </w:rPr>
      </w:pPr>
      <w:r w:rsidRPr="007470A8">
        <w:rPr>
          <w:rFonts w:ascii="Arial" w:hAnsi="Arial" w:cs="Arial"/>
          <w:sz w:val="20"/>
          <w:szCs w:val="20"/>
          <w:lang w:eastAsia="zh-TW"/>
        </w:rPr>
        <w:t xml:space="preserve">The HKEX </w:t>
      </w:r>
      <w:r w:rsidR="00F87AA2">
        <w:rPr>
          <w:rFonts w:ascii="Arial" w:hAnsi="Arial" w:cs="Arial"/>
          <w:sz w:val="20"/>
          <w:szCs w:val="20"/>
          <w:lang w:eastAsia="zh-TW"/>
        </w:rPr>
        <w:t xml:space="preserve">will </w:t>
      </w:r>
      <w:r w:rsidRPr="007470A8">
        <w:rPr>
          <w:rFonts w:ascii="Arial" w:hAnsi="Arial" w:cs="Arial"/>
          <w:sz w:val="20"/>
          <w:szCs w:val="20"/>
          <w:lang w:eastAsia="zh-TW"/>
        </w:rPr>
        <w:t xml:space="preserve">amend </w:t>
      </w:r>
      <w:r w:rsidR="000D5196" w:rsidRPr="007470A8">
        <w:rPr>
          <w:rFonts w:ascii="Arial" w:hAnsi="Arial" w:cs="Arial"/>
          <w:sz w:val="20"/>
          <w:szCs w:val="20"/>
          <w:lang w:eastAsia="zh-TW"/>
        </w:rPr>
        <w:t>MB Rule 1.01</w:t>
      </w:r>
      <w:r w:rsidRPr="007470A8">
        <w:rPr>
          <w:rStyle w:val="a8"/>
          <w:rFonts w:ascii="Arial" w:hAnsi="Arial" w:cs="Arial"/>
          <w:sz w:val="20"/>
          <w:szCs w:val="20"/>
          <w:lang w:eastAsia="zh-TW"/>
        </w:rPr>
        <w:footnoteReference w:id="28"/>
      </w:r>
      <w:r w:rsidRPr="007470A8">
        <w:rPr>
          <w:rFonts w:ascii="Arial" w:hAnsi="Arial" w:cs="Arial"/>
          <w:sz w:val="20"/>
          <w:szCs w:val="20"/>
          <w:lang w:eastAsia="zh-TW"/>
        </w:rPr>
        <w:t xml:space="preserve"> to </w:t>
      </w:r>
      <w:r w:rsidR="000D5196" w:rsidRPr="007470A8">
        <w:rPr>
          <w:rFonts w:ascii="Arial" w:hAnsi="Arial" w:cs="Arial"/>
          <w:sz w:val="20"/>
          <w:szCs w:val="20"/>
          <w:lang w:eastAsia="zh-TW"/>
        </w:rPr>
        <w:t xml:space="preserve">make clear </w:t>
      </w:r>
      <w:r w:rsidRPr="007470A8">
        <w:rPr>
          <w:rFonts w:ascii="Arial" w:hAnsi="Arial" w:cs="Arial"/>
          <w:sz w:val="20"/>
          <w:szCs w:val="20"/>
          <w:lang w:eastAsia="zh-TW"/>
        </w:rPr>
        <w:t xml:space="preserve">that a resale of treasury shares by </w:t>
      </w:r>
      <w:r w:rsidR="00F87AA2">
        <w:rPr>
          <w:rFonts w:ascii="Arial" w:hAnsi="Arial" w:cs="Arial"/>
          <w:sz w:val="20"/>
          <w:szCs w:val="20"/>
          <w:lang w:eastAsia="zh-TW"/>
        </w:rPr>
        <w:t xml:space="preserve">a listed company </w:t>
      </w:r>
      <w:r w:rsidRPr="007470A8">
        <w:rPr>
          <w:rFonts w:ascii="Arial" w:hAnsi="Arial" w:cs="Arial"/>
          <w:sz w:val="20"/>
          <w:szCs w:val="20"/>
          <w:lang w:eastAsia="zh-TW"/>
        </w:rPr>
        <w:t>or its subsidiary includes resale of treasury shares through their agents or nominees</w:t>
      </w:r>
      <w:r w:rsidR="00F87AA2">
        <w:rPr>
          <w:rFonts w:ascii="Arial" w:hAnsi="Arial" w:cs="Arial"/>
          <w:sz w:val="20"/>
          <w:szCs w:val="20"/>
          <w:lang w:eastAsia="zh-TW"/>
        </w:rPr>
        <w:t>,</w:t>
      </w:r>
      <w:r w:rsidRPr="007470A8">
        <w:rPr>
          <w:rFonts w:ascii="Arial" w:hAnsi="Arial" w:cs="Arial"/>
          <w:sz w:val="20"/>
          <w:szCs w:val="20"/>
          <w:lang w:eastAsia="zh-TW"/>
        </w:rPr>
        <w:t xml:space="preserve"> irrespective of whether they are aware of any material non-public information. </w:t>
      </w:r>
    </w:p>
    <w:p w14:paraId="67275BAF" w14:textId="77777777" w:rsidR="00DA2522" w:rsidRPr="007470A8" w:rsidRDefault="00DA2522" w:rsidP="004D1795">
      <w:pPr>
        <w:pStyle w:val="a5"/>
        <w:spacing w:after="0"/>
        <w:ind w:left="851"/>
        <w:jc w:val="both"/>
        <w:rPr>
          <w:rFonts w:ascii="Arial" w:hAnsi="Arial" w:cs="Arial"/>
          <w:sz w:val="20"/>
          <w:szCs w:val="20"/>
          <w:lang w:eastAsia="zh-TW"/>
        </w:rPr>
      </w:pPr>
    </w:p>
    <w:p w14:paraId="6BF54687" w14:textId="77777777" w:rsidR="00DA2522" w:rsidRPr="007470A8" w:rsidRDefault="00F87AA2" w:rsidP="004D1795">
      <w:pPr>
        <w:pStyle w:val="a5"/>
        <w:spacing w:after="0"/>
        <w:ind w:left="851"/>
        <w:jc w:val="both"/>
        <w:rPr>
          <w:rFonts w:ascii="Arial" w:hAnsi="Arial" w:cs="Arial"/>
          <w:sz w:val="20"/>
          <w:szCs w:val="20"/>
          <w:lang w:eastAsia="zh-TW"/>
        </w:rPr>
      </w:pPr>
      <w:r>
        <w:rPr>
          <w:rFonts w:ascii="Arial" w:hAnsi="Arial" w:cs="Arial"/>
          <w:sz w:val="20"/>
          <w:szCs w:val="20"/>
          <w:lang w:eastAsia="zh-TW"/>
        </w:rPr>
        <w:t>T</w:t>
      </w:r>
      <w:r w:rsidR="00DA5701" w:rsidRPr="007470A8">
        <w:rPr>
          <w:rFonts w:ascii="Arial" w:hAnsi="Arial" w:cs="Arial"/>
          <w:sz w:val="20"/>
          <w:szCs w:val="20"/>
          <w:lang w:eastAsia="zh-TW"/>
        </w:rPr>
        <w:t xml:space="preserve">he HKEX </w:t>
      </w:r>
      <w:r>
        <w:rPr>
          <w:rFonts w:ascii="Arial" w:hAnsi="Arial" w:cs="Arial"/>
          <w:sz w:val="20"/>
          <w:szCs w:val="20"/>
          <w:lang w:eastAsia="zh-TW"/>
        </w:rPr>
        <w:t xml:space="preserve">has also </w:t>
      </w:r>
      <w:r w:rsidR="00DA5701" w:rsidRPr="007470A8">
        <w:rPr>
          <w:rFonts w:ascii="Arial" w:hAnsi="Arial" w:cs="Arial"/>
          <w:sz w:val="20"/>
          <w:szCs w:val="20"/>
          <w:lang w:eastAsia="zh-TW"/>
        </w:rPr>
        <w:t xml:space="preserve">clarified that </w:t>
      </w:r>
      <w:r>
        <w:rPr>
          <w:rFonts w:ascii="Arial" w:hAnsi="Arial" w:cs="Arial"/>
          <w:sz w:val="20"/>
          <w:szCs w:val="20"/>
          <w:lang w:eastAsia="zh-TW"/>
        </w:rPr>
        <w:t xml:space="preserve">this will </w:t>
      </w:r>
      <w:r w:rsidR="00DA5701" w:rsidRPr="007470A8">
        <w:rPr>
          <w:rFonts w:ascii="Arial" w:hAnsi="Arial" w:cs="Arial"/>
          <w:sz w:val="20"/>
          <w:szCs w:val="20"/>
          <w:lang w:eastAsia="zh-TW"/>
        </w:rPr>
        <w:t xml:space="preserve">not apply to a sale of shares by the trustee </w:t>
      </w:r>
      <w:r>
        <w:rPr>
          <w:rFonts w:ascii="Arial" w:hAnsi="Arial" w:cs="Arial"/>
          <w:sz w:val="20"/>
          <w:szCs w:val="20"/>
          <w:lang w:eastAsia="zh-TW"/>
        </w:rPr>
        <w:t>of a share</w:t>
      </w:r>
      <w:r w:rsidR="000D5196" w:rsidRPr="007470A8">
        <w:rPr>
          <w:rFonts w:ascii="Arial" w:hAnsi="Arial" w:cs="Arial"/>
          <w:sz w:val="20"/>
          <w:szCs w:val="20"/>
          <w:lang w:eastAsia="zh-TW"/>
        </w:rPr>
        <w:t xml:space="preserve"> scheme </w:t>
      </w:r>
      <w:r w:rsidR="00DA5701" w:rsidRPr="007470A8">
        <w:rPr>
          <w:rFonts w:ascii="Arial" w:hAnsi="Arial" w:cs="Arial"/>
          <w:sz w:val="20"/>
          <w:szCs w:val="20"/>
          <w:lang w:eastAsia="zh-TW"/>
        </w:rPr>
        <w:t>upon cancellation, expiry or lapse of a listed company’s share scheme if the relevant shares are</w:t>
      </w:r>
      <w:r w:rsidR="000D5196" w:rsidRPr="007470A8">
        <w:rPr>
          <w:rFonts w:ascii="Arial" w:hAnsi="Arial" w:cs="Arial"/>
          <w:sz w:val="20"/>
          <w:szCs w:val="20"/>
          <w:lang w:eastAsia="zh-TW"/>
        </w:rPr>
        <w:t xml:space="preserve"> not</w:t>
      </w:r>
      <w:r w:rsidR="00DA5701" w:rsidRPr="007470A8">
        <w:rPr>
          <w:rFonts w:ascii="Arial" w:hAnsi="Arial" w:cs="Arial"/>
          <w:sz w:val="20"/>
          <w:szCs w:val="20"/>
          <w:lang w:eastAsia="zh-TW"/>
        </w:rPr>
        <w:t xml:space="preserve"> treasury shares under the laws of the listed company’s place of incorporation and its constitutional documents.</w:t>
      </w:r>
    </w:p>
    <w:p w14:paraId="3B9F8FD8" w14:textId="77777777" w:rsidR="00DA2522" w:rsidRPr="007470A8" w:rsidRDefault="00DA2522" w:rsidP="004D1795">
      <w:pPr>
        <w:pStyle w:val="a5"/>
        <w:spacing w:after="0"/>
        <w:ind w:left="851"/>
        <w:jc w:val="both"/>
        <w:rPr>
          <w:rFonts w:ascii="Arial" w:hAnsi="Arial" w:cs="Arial"/>
          <w:sz w:val="20"/>
          <w:szCs w:val="20"/>
          <w:lang w:eastAsia="zh-TW"/>
        </w:rPr>
      </w:pPr>
    </w:p>
    <w:p w14:paraId="735E3366" w14:textId="77777777" w:rsidR="00DA2522" w:rsidRPr="00F87AA2" w:rsidRDefault="00DA5701" w:rsidP="004D1795">
      <w:pPr>
        <w:pStyle w:val="a5"/>
        <w:numPr>
          <w:ilvl w:val="0"/>
          <w:numId w:val="10"/>
        </w:numPr>
        <w:spacing w:after="0"/>
        <w:ind w:left="851"/>
        <w:jc w:val="both"/>
        <w:rPr>
          <w:rFonts w:ascii="Arial" w:hAnsi="Arial" w:cs="Arial"/>
          <w:b/>
          <w:sz w:val="20"/>
          <w:szCs w:val="20"/>
          <w:lang w:eastAsia="zh-TW"/>
        </w:rPr>
      </w:pPr>
      <w:r w:rsidRPr="00F87AA2">
        <w:rPr>
          <w:rFonts w:ascii="Arial" w:hAnsi="Arial" w:cs="Arial"/>
          <w:b/>
          <w:sz w:val="20"/>
          <w:szCs w:val="20"/>
          <w:lang w:eastAsia="zh-TW"/>
        </w:rPr>
        <w:t xml:space="preserve">Other consequential amendments to the Listing Rules </w:t>
      </w:r>
    </w:p>
    <w:p w14:paraId="7FE6B966" w14:textId="77777777" w:rsidR="00DA2522" w:rsidRPr="007470A8" w:rsidRDefault="00DA2522" w:rsidP="004D1795">
      <w:pPr>
        <w:pStyle w:val="a5"/>
        <w:spacing w:after="0"/>
        <w:ind w:left="851"/>
        <w:jc w:val="both"/>
        <w:rPr>
          <w:rFonts w:ascii="Arial" w:hAnsi="Arial" w:cs="Arial"/>
          <w:sz w:val="20"/>
          <w:szCs w:val="20"/>
          <w:lang w:eastAsia="zh-TW"/>
        </w:rPr>
      </w:pPr>
    </w:p>
    <w:p w14:paraId="51638D3E" w14:textId="77777777" w:rsidR="00DA2522" w:rsidRPr="007470A8" w:rsidRDefault="00DA5701" w:rsidP="004D1795">
      <w:pPr>
        <w:pStyle w:val="a5"/>
        <w:spacing w:after="0"/>
        <w:ind w:left="851"/>
        <w:jc w:val="both"/>
        <w:rPr>
          <w:rFonts w:ascii="Arial" w:hAnsi="Arial" w:cs="Arial"/>
          <w:sz w:val="20"/>
          <w:szCs w:val="20"/>
          <w:lang w:eastAsia="zh-TW"/>
        </w:rPr>
      </w:pPr>
      <w:r w:rsidRPr="007470A8">
        <w:rPr>
          <w:rFonts w:ascii="Arial" w:hAnsi="Arial" w:cs="Arial"/>
          <w:sz w:val="20"/>
          <w:szCs w:val="20"/>
          <w:lang w:eastAsia="zh-TW"/>
        </w:rPr>
        <w:t xml:space="preserve">The HKEX will amend </w:t>
      </w:r>
      <w:r w:rsidR="000D5196" w:rsidRPr="007470A8">
        <w:rPr>
          <w:rFonts w:ascii="Arial" w:hAnsi="Arial" w:cs="Arial"/>
          <w:sz w:val="20"/>
          <w:szCs w:val="20"/>
          <w:lang w:eastAsia="zh-TW"/>
        </w:rPr>
        <w:t xml:space="preserve">MB </w:t>
      </w:r>
      <w:r w:rsidRPr="007470A8">
        <w:rPr>
          <w:rFonts w:ascii="Arial" w:hAnsi="Arial" w:cs="Arial"/>
          <w:sz w:val="20"/>
          <w:szCs w:val="20"/>
          <w:lang w:eastAsia="zh-TW"/>
        </w:rPr>
        <w:t xml:space="preserve">Rule 19C.11 to allow listed companies with secondary listings on the HKEX to be exempted from </w:t>
      </w:r>
      <w:r w:rsidR="000D5196" w:rsidRPr="007470A8">
        <w:rPr>
          <w:rFonts w:ascii="Arial" w:hAnsi="Arial" w:cs="Arial"/>
          <w:sz w:val="20"/>
          <w:szCs w:val="20"/>
          <w:lang w:eastAsia="zh-TW"/>
        </w:rPr>
        <w:t xml:space="preserve">MB </w:t>
      </w:r>
      <w:r w:rsidRPr="007470A8">
        <w:rPr>
          <w:rFonts w:ascii="Arial" w:hAnsi="Arial" w:cs="Arial"/>
          <w:sz w:val="20"/>
          <w:szCs w:val="20"/>
          <w:lang w:eastAsia="zh-TW"/>
        </w:rPr>
        <w:t xml:space="preserve">Rules </w:t>
      </w:r>
      <w:r w:rsidR="000D5196" w:rsidRPr="007470A8">
        <w:rPr>
          <w:rFonts w:ascii="Arial" w:hAnsi="Arial" w:cs="Arial"/>
          <w:sz w:val="20"/>
          <w:szCs w:val="20"/>
          <w:lang w:eastAsia="zh-TW"/>
        </w:rPr>
        <w:t>10.06A(</w:t>
      </w:r>
      <w:r w:rsidRPr="007470A8">
        <w:rPr>
          <w:rFonts w:ascii="Arial" w:hAnsi="Arial" w:cs="Arial"/>
          <w:sz w:val="20"/>
          <w:szCs w:val="20"/>
          <w:lang w:eastAsia="zh-TW"/>
        </w:rPr>
        <w:t xml:space="preserve">1), 10.06A(3) and 10.06B </w:t>
      </w:r>
      <w:r w:rsidR="000D5196" w:rsidRPr="007470A8">
        <w:rPr>
          <w:rFonts w:ascii="Arial" w:hAnsi="Arial" w:cs="Arial"/>
          <w:sz w:val="20"/>
          <w:szCs w:val="20"/>
          <w:lang w:eastAsia="zh-TW"/>
        </w:rPr>
        <w:t xml:space="preserve">in order </w:t>
      </w:r>
      <w:r w:rsidRPr="007470A8">
        <w:rPr>
          <w:rFonts w:ascii="Arial" w:hAnsi="Arial" w:cs="Arial"/>
          <w:sz w:val="20"/>
          <w:szCs w:val="20"/>
          <w:lang w:eastAsia="zh-TW"/>
        </w:rPr>
        <w:t>to align with the existing exemptions.</w:t>
      </w:r>
    </w:p>
    <w:p w14:paraId="732E61DB" w14:textId="77777777" w:rsidR="00DA2522" w:rsidRPr="007470A8" w:rsidRDefault="00DA2522" w:rsidP="004D1795">
      <w:pPr>
        <w:pStyle w:val="a5"/>
        <w:spacing w:after="0"/>
        <w:ind w:left="851"/>
        <w:jc w:val="both"/>
        <w:rPr>
          <w:rFonts w:ascii="Arial" w:hAnsi="Arial" w:cs="Arial"/>
          <w:sz w:val="20"/>
          <w:szCs w:val="20"/>
          <w:lang w:eastAsia="zh-TW"/>
        </w:rPr>
      </w:pPr>
    </w:p>
    <w:p w14:paraId="556D02B2" w14:textId="77777777" w:rsidR="00C33458" w:rsidRPr="007470A8" w:rsidRDefault="00DA5701" w:rsidP="004D1795">
      <w:pPr>
        <w:pStyle w:val="a5"/>
        <w:spacing w:after="0"/>
        <w:ind w:left="851"/>
        <w:jc w:val="both"/>
        <w:rPr>
          <w:rFonts w:ascii="Arial" w:hAnsi="Arial" w:cs="Arial"/>
          <w:sz w:val="20"/>
          <w:szCs w:val="20"/>
          <w:lang w:eastAsia="zh-TW"/>
        </w:rPr>
      </w:pPr>
      <w:r w:rsidRPr="007470A8">
        <w:rPr>
          <w:rFonts w:ascii="Arial" w:hAnsi="Arial" w:cs="Arial"/>
          <w:sz w:val="20"/>
          <w:szCs w:val="20"/>
          <w:lang w:eastAsia="zh-TW"/>
        </w:rPr>
        <w:t>The SFC will also issue further guidance on treasury units of real estate investment trusts authorised by the SFC under the Code on Real Estate Investment Trusts. Consequentially, the next day disclosure return and monthly return requirements</w:t>
      </w:r>
      <w:r w:rsidR="000D5196" w:rsidRPr="007470A8">
        <w:rPr>
          <w:rFonts w:ascii="Arial" w:hAnsi="Arial" w:cs="Arial"/>
          <w:sz w:val="20"/>
          <w:szCs w:val="20"/>
          <w:lang w:eastAsia="zh-TW"/>
        </w:rPr>
        <w:t xml:space="preserve"> to record the movement of the treasury units of real estate investment trusts </w:t>
      </w:r>
      <w:r w:rsidRPr="007470A8">
        <w:rPr>
          <w:rFonts w:ascii="Arial" w:hAnsi="Arial" w:cs="Arial"/>
          <w:sz w:val="20"/>
          <w:szCs w:val="20"/>
          <w:lang w:eastAsia="zh-TW"/>
        </w:rPr>
        <w:t xml:space="preserve">under Paragraphs 7 and 8 of Appendix E3 to the </w:t>
      </w:r>
      <w:r w:rsidR="000D5196" w:rsidRPr="007470A8">
        <w:rPr>
          <w:rFonts w:ascii="Arial" w:hAnsi="Arial" w:cs="Arial"/>
          <w:sz w:val="20"/>
          <w:szCs w:val="20"/>
          <w:lang w:eastAsia="zh-TW"/>
        </w:rPr>
        <w:t>MB</w:t>
      </w:r>
      <w:r w:rsidRPr="007470A8">
        <w:rPr>
          <w:rFonts w:ascii="Arial" w:hAnsi="Arial" w:cs="Arial"/>
          <w:sz w:val="20"/>
          <w:szCs w:val="20"/>
          <w:lang w:eastAsia="zh-TW"/>
        </w:rPr>
        <w:t xml:space="preserve"> Rules will be amended to cover treasury units of real estate investment trusts.</w:t>
      </w:r>
    </w:p>
    <w:p w14:paraId="520D557B" w14:textId="77777777" w:rsidR="007011C8" w:rsidRPr="007470A8" w:rsidRDefault="007011C8" w:rsidP="004D1795">
      <w:pPr>
        <w:pStyle w:val="a5"/>
        <w:spacing w:after="0"/>
        <w:ind w:left="426"/>
        <w:jc w:val="both"/>
        <w:rPr>
          <w:rFonts w:ascii="Arial" w:hAnsi="Arial" w:cs="Arial"/>
          <w:sz w:val="20"/>
          <w:szCs w:val="20"/>
          <w:lang w:eastAsia="zh-TW"/>
        </w:rPr>
      </w:pPr>
    </w:p>
    <w:p w14:paraId="64954252" w14:textId="77777777" w:rsidR="007011C8" w:rsidRPr="007470A8" w:rsidRDefault="00DA5701" w:rsidP="004D1795">
      <w:pPr>
        <w:pStyle w:val="a5"/>
        <w:numPr>
          <w:ilvl w:val="0"/>
          <w:numId w:val="1"/>
        </w:numPr>
        <w:spacing w:after="0"/>
        <w:ind w:left="284"/>
        <w:jc w:val="both"/>
        <w:rPr>
          <w:rFonts w:ascii="Arial" w:hAnsi="Arial" w:cs="Arial"/>
          <w:b/>
          <w:sz w:val="20"/>
          <w:szCs w:val="20"/>
          <w:lang w:eastAsia="zh-TW"/>
        </w:rPr>
      </w:pPr>
      <w:r w:rsidRPr="00F87AA2">
        <w:rPr>
          <w:rFonts w:ascii="Arial" w:hAnsi="Arial" w:cs="Arial"/>
          <w:b/>
          <w:color w:val="FF0000"/>
          <w:sz w:val="20"/>
          <w:szCs w:val="20"/>
          <w:lang w:eastAsia="zh-TW"/>
        </w:rPr>
        <w:t xml:space="preserve">Other Housekeeping amendments </w:t>
      </w:r>
    </w:p>
    <w:p w14:paraId="4D1E408B" w14:textId="77777777" w:rsidR="009A6B49" w:rsidRPr="007470A8" w:rsidRDefault="009A6B49" w:rsidP="004D1795">
      <w:pPr>
        <w:pStyle w:val="a5"/>
        <w:spacing w:after="0"/>
        <w:ind w:left="284"/>
        <w:jc w:val="both"/>
        <w:rPr>
          <w:rFonts w:ascii="Arial" w:hAnsi="Arial" w:cs="Arial"/>
          <w:sz w:val="20"/>
          <w:szCs w:val="20"/>
          <w:lang w:eastAsia="zh-TW"/>
        </w:rPr>
      </w:pPr>
    </w:p>
    <w:p w14:paraId="1C9EFEE6" w14:textId="77777777" w:rsidR="009A6B49" w:rsidRDefault="00DA5701" w:rsidP="004D1795">
      <w:pPr>
        <w:pStyle w:val="a5"/>
        <w:spacing w:after="0"/>
        <w:ind w:left="284"/>
        <w:jc w:val="both"/>
        <w:rPr>
          <w:rFonts w:ascii="Arial" w:hAnsi="Arial" w:cs="Arial"/>
          <w:sz w:val="20"/>
          <w:szCs w:val="20"/>
          <w:lang w:eastAsia="zh-TW"/>
        </w:rPr>
      </w:pPr>
      <w:r w:rsidRPr="007470A8">
        <w:rPr>
          <w:rFonts w:ascii="Arial" w:hAnsi="Arial" w:cs="Arial"/>
          <w:sz w:val="20"/>
          <w:szCs w:val="20"/>
          <w:lang w:eastAsia="zh-TW"/>
        </w:rPr>
        <w:t xml:space="preserve">Other housekeeping amendments to the Listing Rules include: </w:t>
      </w:r>
    </w:p>
    <w:p w14:paraId="1AA56E56" w14:textId="77777777" w:rsidR="00F87AA2" w:rsidRPr="007470A8" w:rsidRDefault="00F87AA2" w:rsidP="004D1795">
      <w:pPr>
        <w:pStyle w:val="a5"/>
        <w:spacing w:after="0"/>
        <w:ind w:left="284"/>
        <w:jc w:val="both"/>
        <w:rPr>
          <w:rFonts w:ascii="Arial" w:hAnsi="Arial" w:cs="Arial"/>
          <w:sz w:val="20"/>
          <w:szCs w:val="20"/>
          <w:lang w:eastAsia="zh-TW"/>
        </w:rPr>
      </w:pPr>
    </w:p>
    <w:p w14:paraId="5786963C" w14:textId="799316E6" w:rsidR="009A6B49" w:rsidRDefault="00DA5701" w:rsidP="004662DF">
      <w:pPr>
        <w:pStyle w:val="a5"/>
        <w:numPr>
          <w:ilvl w:val="0"/>
          <w:numId w:val="12"/>
        </w:numPr>
        <w:spacing w:after="0"/>
        <w:ind w:left="993" w:hanging="425"/>
        <w:jc w:val="both"/>
        <w:rPr>
          <w:rFonts w:ascii="Arial" w:hAnsi="Arial" w:cs="Arial"/>
          <w:sz w:val="20"/>
          <w:szCs w:val="20"/>
          <w:lang w:eastAsia="zh-TW"/>
        </w:rPr>
      </w:pPr>
      <w:r w:rsidRPr="007470A8">
        <w:rPr>
          <w:rFonts w:ascii="Arial" w:hAnsi="Arial" w:cs="Arial"/>
          <w:sz w:val="20"/>
          <w:szCs w:val="20"/>
          <w:lang w:eastAsia="zh-TW"/>
        </w:rPr>
        <w:t>Paragraphs 11, 11A and 41A of Appendix D2</w:t>
      </w:r>
      <w:r w:rsidR="004C0F2C" w:rsidRPr="007470A8">
        <w:rPr>
          <w:rFonts w:ascii="Arial" w:hAnsi="Arial" w:cs="Arial"/>
          <w:sz w:val="20"/>
          <w:szCs w:val="20"/>
          <w:lang w:eastAsia="zh-TW"/>
        </w:rPr>
        <w:t xml:space="preserve"> of the MB Rules</w:t>
      </w:r>
      <w:r w:rsidRPr="007470A8">
        <w:rPr>
          <w:rStyle w:val="a8"/>
          <w:rFonts w:ascii="Arial" w:hAnsi="Arial" w:cs="Arial"/>
          <w:sz w:val="20"/>
          <w:szCs w:val="20"/>
          <w:lang w:eastAsia="zh-TW"/>
        </w:rPr>
        <w:footnoteReference w:id="29"/>
      </w:r>
      <w:r w:rsidRPr="007470A8">
        <w:rPr>
          <w:rFonts w:ascii="Arial" w:hAnsi="Arial" w:cs="Arial"/>
          <w:sz w:val="20"/>
          <w:szCs w:val="20"/>
          <w:lang w:eastAsia="zh-TW"/>
        </w:rPr>
        <w:t xml:space="preserve"> – clarifications that the reporting requirements for issues of securities for cash consideration do not apply to new shares issued or treasury shares resold under share schemes</w:t>
      </w:r>
      <w:r w:rsidR="004C0F2C" w:rsidRPr="007470A8">
        <w:rPr>
          <w:rFonts w:ascii="Arial" w:hAnsi="Arial" w:cs="Arial"/>
          <w:sz w:val="20"/>
          <w:szCs w:val="20"/>
          <w:lang w:eastAsia="zh-TW"/>
        </w:rPr>
        <w:t xml:space="preserve"> will be added</w:t>
      </w:r>
      <w:r w:rsidRPr="007470A8">
        <w:rPr>
          <w:rFonts w:ascii="Arial" w:hAnsi="Arial" w:cs="Arial"/>
          <w:sz w:val="20"/>
          <w:szCs w:val="20"/>
          <w:lang w:eastAsia="zh-TW"/>
        </w:rPr>
        <w:t>. Rules 17.07 to 17.09</w:t>
      </w:r>
      <w:r w:rsidRPr="007470A8">
        <w:rPr>
          <w:rStyle w:val="a8"/>
          <w:rFonts w:ascii="Arial" w:hAnsi="Arial" w:cs="Arial"/>
          <w:sz w:val="20"/>
          <w:szCs w:val="20"/>
          <w:lang w:eastAsia="zh-TW"/>
        </w:rPr>
        <w:footnoteReference w:id="30"/>
      </w:r>
      <w:r w:rsidRPr="007470A8">
        <w:rPr>
          <w:rFonts w:ascii="Arial" w:hAnsi="Arial" w:cs="Arial"/>
          <w:sz w:val="20"/>
          <w:szCs w:val="20"/>
          <w:lang w:eastAsia="zh-TW"/>
        </w:rPr>
        <w:t xml:space="preserve"> would apply</w:t>
      </w:r>
      <w:r w:rsidR="00F87AA2">
        <w:rPr>
          <w:rFonts w:ascii="Arial" w:hAnsi="Arial" w:cs="Arial"/>
          <w:sz w:val="20"/>
          <w:szCs w:val="20"/>
          <w:lang w:eastAsia="zh-TW"/>
        </w:rPr>
        <w:t xml:space="preserve"> </w:t>
      </w:r>
      <w:r w:rsidR="00601D35">
        <w:rPr>
          <w:rFonts w:ascii="Arial" w:hAnsi="Arial" w:cs="Arial"/>
          <w:sz w:val="20"/>
          <w:szCs w:val="20"/>
          <w:lang w:eastAsia="zh-TW"/>
        </w:rPr>
        <w:t>i</w:t>
      </w:r>
      <w:r w:rsidR="00F87AA2">
        <w:rPr>
          <w:rFonts w:ascii="Arial" w:hAnsi="Arial" w:cs="Arial"/>
          <w:sz w:val="20"/>
          <w:szCs w:val="20"/>
          <w:lang w:eastAsia="zh-TW"/>
        </w:rPr>
        <w:t>nstead</w:t>
      </w:r>
      <w:r w:rsidR="004C0F2C" w:rsidRPr="007470A8">
        <w:rPr>
          <w:rFonts w:ascii="Arial" w:hAnsi="Arial" w:cs="Arial"/>
          <w:sz w:val="20"/>
          <w:szCs w:val="20"/>
          <w:lang w:eastAsia="zh-TW"/>
        </w:rPr>
        <w:t xml:space="preserve">; </w:t>
      </w:r>
    </w:p>
    <w:p w14:paraId="613E5017" w14:textId="77777777" w:rsidR="00F87AA2" w:rsidRPr="007470A8" w:rsidRDefault="00F87AA2" w:rsidP="00F87AA2">
      <w:pPr>
        <w:pStyle w:val="a5"/>
        <w:spacing w:after="0"/>
        <w:ind w:left="993"/>
        <w:jc w:val="both"/>
        <w:rPr>
          <w:rFonts w:ascii="Arial" w:hAnsi="Arial" w:cs="Arial"/>
          <w:sz w:val="20"/>
          <w:szCs w:val="20"/>
          <w:lang w:eastAsia="zh-TW"/>
        </w:rPr>
      </w:pPr>
    </w:p>
    <w:p w14:paraId="2E936975" w14:textId="1AE272FD" w:rsidR="009A0ABF" w:rsidRDefault="00DA5701" w:rsidP="004662DF">
      <w:pPr>
        <w:pStyle w:val="a5"/>
        <w:numPr>
          <w:ilvl w:val="0"/>
          <w:numId w:val="12"/>
        </w:numPr>
        <w:spacing w:after="0"/>
        <w:ind w:left="993" w:hanging="425"/>
        <w:jc w:val="both"/>
        <w:rPr>
          <w:rFonts w:ascii="Arial" w:hAnsi="Arial" w:cs="Arial"/>
          <w:sz w:val="20"/>
          <w:szCs w:val="20"/>
          <w:lang w:eastAsia="zh-TW"/>
        </w:rPr>
      </w:pPr>
      <w:r w:rsidRPr="007470A8">
        <w:rPr>
          <w:rFonts w:ascii="Arial" w:hAnsi="Arial" w:cs="Arial"/>
          <w:sz w:val="20"/>
          <w:szCs w:val="20"/>
          <w:lang w:eastAsia="zh-TW"/>
        </w:rPr>
        <w:t>MB Rule 13.25A</w:t>
      </w:r>
      <w:r w:rsidRPr="007470A8">
        <w:rPr>
          <w:rStyle w:val="a8"/>
          <w:rFonts w:ascii="Arial" w:hAnsi="Arial" w:cs="Arial"/>
          <w:sz w:val="20"/>
          <w:szCs w:val="20"/>
          <w:lang w:eastAsia="zh-TW"/>
        </w:rPr>
        <w:footnoteReference w:id="31"/>
      </w:r>
      <w:r w:rsidRPr="007470A8">
        <w:rPr>
          <w:rFonts w:ascii="Arial" w:hAnsi="Arial" w:cs="Arial"/>
          <w:sz w:val="20"/>
          <w:szCs w:val="20"/>
          <w:lang w:eastAsia="zh-TW"/>
        </w:rPr>
        <w:t xml:space="preserve"> – listed companies will be allowed to file a next day disclosure return for the new shares issued or treasury shares t</w:t>
      </w:r>
      <w:r w:rsidR="00F87AA2">
        <w:rPr>
          <w:rFonts w:ascii="Arial" w:hAnsi="Arial" w:cs="Arial"/>
          <w:sz w:val="20"/>
          <w:szCs w:val="20"/>
          <w:lang w:eastAsia="zh-TW"/>
        </w:rPr>
        <w:t xml:space="preserve">ransferred to grantees under a share scheme </w:t>
      </w:r>
      <w:r w:rsidRPr="007470A8">
        <w:rPr>
          <w:rFonts w:ascii="Arial" w:hAnsi="Arial" w:cs="Arial"/>
          <w:sz w:val="20"/>
          <w:szCs w:val="20"/>
          <w:lang w:eastAsia="zh-TW"/>
        </w:rPr>
        <w:t xml:space="preserve">on passing the threshold under </w:t>
      </w:r>
      <w:r w:rsidR="00531011">
        <w:rPr>
          <w:rFonts w:ascii="Arial" w:hAnsi="Arial" w:cs="Arial"/>
          <w:sz w:val="20"/>
          <w:szCs w:val="20"/>
          <w:lang w:eastAsia="zh-TW"/>
        </w:rPr>
        <w:t xml:space="preserve">MB </w:t>
      </w:r>
      <w:r w:rsidRPr="007470A8">
        <w:rPr>
          <w:rFonts w:ascii="Arial" w:hAnsi="Arial" w:cs="Arial"/>
          <w:sz w:val="20"/>
          <w:szCs w:val="20"/>
          <w:lang w:eastAsia="zh-TW"/>
        </w:rPr>
        <w:t xml:space="preserve">Rule 13.25A(3). Listed companies are not required to file separate returns upon vesting of these awards. </w:t>
      </w:r>
    </w:p>
    <w:p w14:paraId="7C620A14" w14:textId="7D21EAA5" w:rsidR="00601D35" w:rsidRPr="001E2257" w:rsidRDefault="00601D35" w:rsidP="001E2257">
      <w:pPr>
        <w:spacing w:after="0"/>
        <w:jc w:val="both"/>
        <w:rPr>
          <w:rFonts w:ascii="Arial" w:hAnsi="Arial" w:cs="Arial"/>
          <w:sz w:val="20"/>
          <w:szCs w:val="20"/>
          <w:lang w:eastAsia="zh-TW"/>
        </w:rPr>
      </w:pPr>
    </w:p>
    <w:p w14:paraId="684184F1" w14:textId="77777777" w:rsidR="009A6B49" w:rsidRPr="007470A8" w:rsidRDefault="00DA5701" w:rsidP="004662DF">
      <w:pPr>
        <w:pStyle w:val="a5"/>
        <w:numPr>
          <w:ilvl w:val="0"/>
          <w:numId w:val="12"/>
        </w:numPr>
        <w:spacing w:after="0"/>
        <w:ind w:left="993" w:hanging="425"/>
        <w:jc w:val="both"/>
        <w:rPr>
          <w:rFonts w:ascii="Arial" w:hAnsi="Arial" w:cs="Arial"/>
          <w:sz w:val="20"/>
          <w:szCs w:val="20"/>
          <w:lang w:eastAsia="zh-TW"/>
        </w:rPr>
      </w:pPr>
      <w:r w:rsidRPr="007470A8">
        <w:rPr>
          <w:rFonts w:ascii="Arial" w:hAnsi="Arial" w:cs="Arial"/>
          <w:sz w:val="20"/>
          <w:szCs w:val="20"/>
          <w:lang w:eastAsia="zh-TW"/>
        </w:rPr>
        <w:t xml:space="preserve">MB </w:t>
      </w:r>
      <w:r w:rsidR="009A0ABF" w:rsidRPr="007470A8">
        <w:rPr>
          <w:rFonts w:ascii="Arial" w:hAnsi="Arial" w:cs="Arial"/>
          <w:sz w:val="20"/>
          <w:szCs w:val="20"/>
          <w:lang w:eastAsia="zh-TW"/>
        </w:rPr>
        <w:t xml:space="preserve">Rule 17.05 </w:t>
      </w:r>
      <w:r w:rsidRPr="007470A8">
        <w:rPr>
          <w:rFonts w:ascii="Arial" w:hAnsi="Arial" w:cs="Arial"/>
          <w:sz w:val="20"/>
          <w:szCs w:val="20"/>
          <w:lang w:eastAsia="zh-TW"/>
        </w:rPr>
        <w:t>– the restricted</w:t>
      </w:r>
      <w:r w:rsidR="009A0ABF" w:rsidRPr="007470A8">
        <w:rPr>
          <w:rFonts w:ascii="Arial" w:hAnsi="Arial" w:cs="Arial"/>
          <w:sz w:val="20"/>
          <w:szCs w:val="20"/>
          <w:lang w:eastAsia="zh-TW"/>
        </w:rPr>
        <w:t xml:space="preserve"> period for grants of options or awards under share schemes will be amended from one month to 30 days preceding the results announcement. This is to align with the restricted period amendments for on-Exchange share repurchases and on-Exchange resales of treasury shares as stated above.</w:t>
      </w:r>
    </w:p>
    <w:p w14:paraId="349610C8" w14:textId="77777777" w:rsidR="00D441F1" w:rsidRPr="007470A8" w:rsidRDefault="00D441F1" w:rsidP="004D1795">
      <w:pPr>
        <w:spacing w:after="0"/>
        <w:jc w:val="both"/>
        <w:rPr>
          <w:rFonts w:ascii="Arial" w:hAnsi="Arial" w:cs="Arial"/>
          <w:sz w:val="20"/>
          <w:szCs w:val="20"/>
          <w:lang w:eastAsia="zh-TW"/>
        </w:rPr>
      </w:pPr>
    </w:p>
    <w:p w14:paraId="7C0E8C77" w14:textId="77777777" w:rsidR="00D441F1" w:rsidRPr="00F87AA2" w:rsidRDefault="00DA5701" w:rsidP="004D1795">
      <w:pPr>
        <w:spacing w:after="0"/>
        <w:jc w:val="both"/>
        <w:rPr>
          <w:rFonts w:ascii="Arial" w:hAnsi="Arial" w:cs="Arial"/>
          <w:b/>
          <w:color w:val="FF0000"/>
          <w:sz w:val="20"/>
          <w:szCs w:val="20"/>
          <w:lang w:eastAsia="zh-TW"/>
        </w:rPr>
      </w:pPr>
      <w:r w:rsidRPr="00F87AA2">
        <w:rPr>
          <w:rFonts w:ascii="Arial" w:hAnsi="Arial" w:cs="Arial"/>
          <w:b/>
          <w:color w:val="FF0000"/>
          <w:sz w:val="20"/>
          <w:szCs w:val="20"/>
          <w:lang w:eastAsia="zh-TW"/>
        </w:rPr>
        <w:t xml:space="preserve">Implications on other laws and regulations in Hong Kong </w:t>
      </w:r>
    </w:p>
    <w:p w14:paraId="552F99D4" w14:textId="77777777" w:rsidR="002403BE" w:rsidRPr="007470A8" w:rsidRDefault="002403BE" w:rsidP="004D1795">
      <w:pPr>
        <w:spacing w:after="0"/>
        <w:jc w:val="both"/>
        <w:rPr>
          <w:rFonts w:ascii="Arial" w:hAnsi="Arial" w:cs="Arial"/>
          <w:sz w:val="20"/>
          <w:szCs w:val="20"/>
          <w:lang w:eastAsia="zh-TW"/>
        </w:rPr>
      </w:pPr>
    </w:p>
    <w:p w14:paraId="1E2D49BC" w14:textId="50177697" w:rsidR="00D441F1" w:rsidRPr="007470A8" w:rsidRDefault="00DA5701" w:rsidP="004D1795">
      <w:pPr>
        <w:spacing w:after="0"/>
        <w:jc w:val="both"/>
        <w:rPr>
          <w:rFonts w:ascii="Arial" w:hAnsi="Arial" w:cs="Arial"/>
          <w:sz w:val="20"/>
          <w:szCs w:val="20"/>
          <w:lang w:eastAsia="zh-TW"/>
        </w:rPr>
      </w:pPr>
      <w:r w:rsidRPr="007470A8">
        <w:rPr>
          <w:rFonts w:ascii="Arial" w:hAnsi="Arial" w:cs="Arial"/>
          <w:sz w:val="20"/>
          <w:szCs w:val="20"/>
          <w:lang w:eastAsia="zh-TW"/>
        </w:rPr>
        <w:t xml:space="preserve">The </w:t>
      </w:r>
      <w:r w:rsidR="00601D35">
        <w:rPr>
          <w:rFonts w:ascii="Arial" w:hAnsi="Arial" w:cs="Arial"/>
          <w:sz w:val="20"/>
          <w:szCs w:val="20"/>
          <w:lang w:eastAsia="zh-TW"/>
        </w:rPr>
        <w:t xml:space="preserve">Hong Kong </w:t>
      </w:r>
      <w:r w:rsidRPr="007470A8">
        <w:rPr>
          <w:rFonts w:ascii="Arial" w:hAnsi="Arial" w:cs="Arial"/>
          <w:sz w:val="20"/>
          <w:szCs w:val="20"/>
          <w:lang w:eastAsia="zh-TW"/>
        </w:rPr>
        <w:t xml:space="preserve">Government is </w:t>
      </w:r>
      <w:r w:rsidR="004662DF">
        <w:rPr>
          <w:rFonts w:ascii="Arial" w:hAnsi="Arial" w:cs="Arial"/>
          <w:sz w:val="20"/>
          <w:szCs w:val="20"/>
          <w:lang w:eastAsia="zh-TW"/>
        </w:rPr>
        <w:t xml:space="preserve">currently </w:t>
      </w:r>
      <w:r w:rsidRPr="007470A8">
        <w:rPr>
          <w:rFonts w:ascii="Arial" w:hAnsi="Arial" w:cs="Arial"/>
          <w:sz w:val="20"/>
          <w:szCs w:val="20"/>
          <w:lang w:eastAsia="zh-TW"/>
        </w:rPr>
        <w:t xml:space="preserve">considering </w:t>
      </w:r>
      <w:r w:rsidR="002403BE" w:rsidRPr="007470A8">
        <w:rPr>
          <w:rFonts w:ascii="Arial" w:hAnsi="Arial" w:cs="Arial"/>
          <w:sz w:val="20"/>
          <w:szCs w:val="20"/>
          <w:lang w:eastAsia="zh-TW"/>
        </w:rPr>
        <w:t>amending</w:t>
      </w:r>
      <w:r w:rsidR="00F87AA2">
        <w:rPr>
          <w:rFonts w:ascii="Arial" w:hAnsi="Arial" w:cs="Arial"/>
          <w:sz w:val="20"/>
          <w:szCs w:val="20"/>
          <w:lang w:eastAsia="zh-TW"/>
        </w:rPr>
        <w:t xml:space="preserve"> the Companies Ordinance to coincide</w:t>
      </w:r>
      <w:r w:rsidRPr="007470A8">
        <w:rPr>
          <w:rFonts w:ascii="Arial" w:hAnsi="Arial" w:cs="Arial"/>
          <w:sz w:val="20"/>
          <w:szCs w:val="20"/>
          <w:lang w:eastAsia="zh-TW"/>
        </w:rPr>
        <w:t xml:space="preserve"> with the amendments to the </w:t>
      </w:r>
      <w:r w:rsidR="00F87AA2">
        <w:rPr>
          <w:rFonts w:ascii="Arial" w:hAnsi="Arial" w:cs="Arial"/>
          <w:sz w:val="20"/>
          <w:szCs w:val="20"/>
          <w:lang w:eastAsia="zh-TW"/>
        </w:rPr>
        <w:t xml:space="preserve">HKEX </w:t>
      </w:r>
      <w:r w:rsidRPr="007470A8">
        <w:rPr>
          <w:rFonts w:ascii="Arial" w:hAnsi="Arial" w:cs="Arial"/>
          <w:sz w:val="20"/>
          <w:szCs w:val="20"/>
          <w:lang w:eastAsia="zh-TW"/>
        </w:rPr>
        <w:t xml:space="preserve">Listing Rules </w:t>
      </w:r>
      <w:r w:rsidR="00F87AA2">
        <w:rPr>
          <w:rFonts w:ascii="Arial" w:hAnsi="Arial" w:cs="Arial"/>
          <w:sz w:val="20"/>
          <w:szCs w:val="20"/>
          <w:lang w:eastAsia="zh-TW"/>
        </w:rPr>
        <w:t xml:space="preserve">to </w:t>
      </w:r>
      <w:r w:rsidRPr="007470A8">
        <w:rPr>
          <w:rFonts w:ascii="Arial" w:hAnsi="Arial" w:cs="Arial"/>
          <w:sz w:val="20"/>
          <w:szCs w:val="20"/>
          <w:lang w:eastAsia="zh-TW"/>
        </w:rPr>
        <w:t>allow companies incorporated in Hong Kong to also benefit from the treasury share regime</w:t>
      </w:r>
      <w:r w:rsidR="00B513B7">
        <w:rPr>
          <w:rFonts w:ascii="Arial" w:hAnsi="Arial" w:cs="Arial"/>
          <w:sz w:val="20"/>
          <w:szCs w:val="20"/>
          <w:lang w:eastAsia="zh-TW"/>
        </w:rPr>
        <w:t xml:space="preserve"> in the same manner as overseas-incorporated companies</w:t>
      </w:r>
      <w:r w:rsidRPr="007470A8">
        <w:rPr>
          <w:rFonts w:ascii="Arial" w:hAnsi="Arial" w:cs="Arial"/>
          <w:sz w:val="20"/>
          <w:szCs w:val="20"/>
          <w:lang w:eastAsia="zh-TW"/>
        </w:rPr>
        <w:t xml:space="preserve">. </w:t>
      </w:r>
    </w:p>
    <w:p w14:paraId="4A728478" w14:textId="77777777" w:rsidR="002403BE" w:rsidRPr="007470A8" w:rsidRDefault="002403BE" w:rsidP="004D1795">
      <w:pPr>
        <w:spacing w:after="0"/>
        <w:jc w:val="both"/>
        <w:rPr>
          <w:rFonts w:ascii="Arial" w:hAnsi="Arial" w:cs="Arial"/>
          <w:sz w:val="20"/>
          <w:szCs w:val="20"/>
          <w:lang w:eastAsia="zh-TW"/>
        </w:rPr>
      </w:pPr>
    </w:p>
    <w:p w14:paraId="2650BAE6" w14:textId="52FFE240" w:rsidR="00CD5837" w:rsidRPr="007470A8" w:rsidRDefault="00DA5701" w:rsidP="004D1795">
      <w:pPr>
        <w:spacing w:after="0"/>
        <w:jc w:val="both"/>
        <w:rPr>
          <w:rFonts w:ascii="Arial" w:hAnsi="Arial" w:cs="Arial"/>
          <w:sz w:val="20"/>
          <w:szCs w:val="20"/>
          <w:lang w:eastAsia="zh-TW"/>
        </w:rPr>
      </w:pPr>
      <w:r w:rsidRPr="007470A8">
        <w:rPr>
          <w:rFonts w:ascii="Arial" w:hAnsi="Arial" w:cs="Arial"/>
          <w:sz w:val="20"/>
          <w:szCs w:val="20"/>
          <w:lang w:eastAsia="zh-TW"/>
        </w:rPr>
        <w:t xml:space="preserve">Regarding the </w:t>
      </w:r>
      <w:r w:rsidR="00601D35">
        <w:rPr>
          <w:rFonts w:ascii="Arial" w:hAnsi="Arial" w:cs="Arial"/>
          <w:sz w:val="20"/>
          <w:szCs w:val="20"/>
          <w:lang w:eastAsia="zh-TW"/>
        </w:rPr>
        <w:t>Codes</w:t>
      </w:r>
      <w:r w:rsidRPr="007470A8">
        <w:rPr>
          <w:rFonts w:ascii="Arial" w:hAnsi="Arial" w:cs="Arial"/>
          <w:sz w:val="20"/>
          <w:szCs w:val="20"/>
          <w:lang w:eastAsia="zh-TW"/>
        </w:rPr>
        <w:t>, the voting rights attached to treasury shares are explicitly e</w:t>
      </w:r>
      <w:r w:rsidR="00F87AA2">
        <w:rPr>
          <w:rFonts w:ascii="Arial" w:hAnsi="Arial" w:cs="Arial"/>
          <w:sz w:val="20"/>
          <w:szCs w:val="20"/>
          <w:lang w:eastAsia="zh-TW"/>
        </w:rPr>
        <w:t>xcluded from the definition of “</w:t>
      </w:r>
      <w:r w:rsidRPr="007470A8">
        <w:rPr>
          <w:rFonts w:ascii="Arial" w:hAnsi="Arial" w:cs="Arial"/>
          <w:sz w:val="20"/>
          <w:szCs w:val="20"/>
          <w:lang w:eastAsia="zh-TW"/>
        </w:rPr>
        <w:t>v</w:t>
      </w:r>
      <w:r w:rsidR="00F87AA2">
        <w:rPr>
          <w:rFonts w:ascii="Arial" w:hAnsi="Arial" w:cs="Arial"/>
          <w:sz w:val="20"/>
          <w:szCs w:val="20"/>
          <w:lang w:eastAsia="zh-TW"/>
        </w:rPr>
        <w:t>oting rights”</w:t>
      </w:r>
      <w:r w:rsidRPr="007470A8">
        <w:rPr>
          <w:rFonts w:ascii="Arial" w:hAnsi="Arial" w:cs="Arial"/>
          <w:sz w:val="20"/>
          <w:szCs w:val="20"/>
          <w:lang w:eastAsia="zh-TW"/>
        </w:rPr>
        <w:t xml:space="preserve">. This would </w:t>
      </w:r>
      <w:r w:rsidR="002403BE" w:rsidRPr="007470A8">
        <w:rPr>
          <w:rFonts w:ascii="Arial" w:hAnsi="Arial" w:cs="Arial"/>
          <w:sz w:val="20"/>
          <w:szCs w:val="20"/>
          <w:lang w:eastAsia="zh-TW"/>
        </w:rPr>
        <w:t>impact</w:t>
      </w:r>
      <w:r w:rsidRPr="007470A8">
        <w:rPr>
          <w:rFonts w:ascii="Arial" w:hAnsi="Arial" w:cs="Arial"/>
          <w:sz w:val="20"/>
          <w:szCs w:val="20"/>
          <w:lang w:eastAsia="zh-TW"/>
        </w:rPr>
        <w:t xml:space="preserve"> the interpretation of disinterested shares in the calculation of certain thresholds such as the 30% trigger of a general mandatory offer, the 2% creeper or the</w:t>
      </w:r>
      <w:r w:rsidR="007458D1">
        <w:rPr>
          <w:rFonts w:ascii="Arial" w:hAnsi="Arial" w:cs="Arial"/>
          <w:sz w:val="20"/>
          <w:szCs w:val="20"/>
          <w:lang w:eastAsia="zh-TW"/>
        </w:rPr>
        <w:t xml:space="preserve"> acceptance threshold. Also, </w:t>
      </w:r>
      <w:r w:rsidRPr="007470A8">
        <w:rPr>
          <w:rFonts w:ascii="Arial" w:hAnsi="Arial" w:cs="Arial"/>
          <w:sz w:val="20"/>
          <w:szCs w:val="20"/>
          <w:lang w:eastAsia="zh-TW"/>
        </w:rPr>
        <w:t xml:space="preserve">an offer is not required for treasury shares during a general offer or partial offer. The Takeovers Executive of the SFC will issue a practice note to clarify the implications of the treasury share regime on the </w:t>
      </w:r>
      <w:r w:rsidR="00601D35">
        <w:rPr>
          <w:rFonts w:ascii="Arial" w:hAnsi="Arial" w:cs="Arial"/>
          <w:sz w:val="20"/>
          <w:szCs w:val="20"/>
          <w:lang w:eastAsia="zh-TW"/>
        </w:rPr>
        <w:t>Codes</w:t>
      </w:r>
      <w:r w:rsidRPr="007470A8">
        <w:rPr>
          <w:rFonts w:ascii="Arial" w:hAnsi="Arial" w:cs="Arial"/>
          <w:sz w:val="20"/>
          <w:szCs w:val="20"/>
          <w:lang w:eastAsia="zh-TW"/>
        </w:rPr>
        <w:t xml:space="preserve"> when the treasury</w:t>
      </w:r>
      <w:r w:rsidR="00601D35">
        <w:rPr>
          <w:rFonts w:ascii="Arial" w:hAnsi="Arial" w:cs="Arial"/>
          <w:sz w:val="20"/>
          <w:szCs w:val="20"/>
          <w:lang w:eastAsia="zh-TW"/>
        </w:rPr>
        <w:t xml:space="preserve"> share</w:t>
      </w:r>
      <w:r w:rsidRPr="007470A8">
        <w:rPr>
          <w:rFonts w:ascii="Arial" w:hAnsi="Arial" w:cs="Arial"/>
          <w:sz w:val="20"/>
          <w:szCs w:val="20"/>
          <w:lang w:eastAsia="zh-TW"/>
        </w:rPr>
        <w:t xml:space="preserve"> regime comes into effect. </w:t>
      </w:r>
    </w:p>
    <w:p w14:paraId="021ED217" w14:textId="77777777" w:rsidR="002403BE" w:rsidRPr="007470A8" w:rsidRDefault="002403BE" w:rsidP="004D1795">
      <w:pPr>
        <w:spacing w:after="0"/>
        <w:jc w:val="both"/>
        <w:rPr>
          <w:rFonts w:ascii="Arial" w:hAnsi="Arial" w:cs="Arial"/>
          <w:sz w:val="20"/>
          <w:szCs w:val="20"/>
          <w:lang w:eastAsia="zh-TW"/>
        </w:rPr>
      </w:pPr>
    </w:p>
    <w:p w14:paraId="736E693C" w14:textId="3D9797FA" w:rsidR="00CD5837" w:rsidRPr="007470A8" w:rsidRDefault="00DA5701" w:rsidP="004D1795">
      <w:pPr>
        <w:spacing w:after="0"/>
        <w:jc w:val="both"/>
        <w:rPr>
          <w:rFonts w:ascii="Arial" w:hAnsi="Arial" w:cs="Arial"/>
          <w:sz w:val="20"/>
          <w:szCs w:val="20"/>
          <w:lang w:eastAsia="zh-TW"/>
        </w:rPr>
      </w:pPr>
      <w:r w:rsidRPr="007470A8">
        <w:rPr>
          <w:rFonts w:ascii="Arial" w:hAnsi="Arial" w:cs="Arial"/>
          <w:sz w:val="20"/>
          <w:szCs w:val="20"/>
          <w:lang w:eastAsia="zh-TW"/>
        </w:rPr>
        <w:t>As already</w:t>
      </w:r>
      <w:r w:rsidR="00F87AA2">
        <w:rPr>
          <w:rFonts w:ascii="Arial" w:hAnsi="Arial" w:cs="Arial"/>
          <w:sz w:val="20"/>
          <w:szCs w:val="20"/>
          <w:lang w:eastAsia="zh-TW"/>
        </w:rPr>
        <w:t xml:space="preserve"> noted</w:t>
      </w:r>
      <w:r w:rsidRPr="007470A8">
        <w:rPr>
          <w:rFonts w:ascii="Arial" w:hAnsi="Arial" w:cs="Arial"/>
          <w:sz w:val="20"/>
          <w:szCs w:val="20"/>
          <w:lang w:eastAsia="zh-TW"/>
        </w:rPr>
        <w:t xml:space="preserve">, the treatment of treasury units of real estate investment trusts will largely mirror </w:t>
      </w:r>
      <w:r w:rsidR="00F87AA2">
        <w:rPr>
          <w:rFonts w:ascii="Arial" w:hAnsi="Arial" w:cs="Arial"/>
          <w:sz w:val="20"/>
          <w:szCs w:val="20"/>
          <w:lang w:eastAsia="zh-TW"/>
        </w:rPr>
        <w:t>that o</w:t>
      </w:r>
      <w:r w:rsidR="00601D35">
        <w:rPr>
          <w:rFonts w:ascii="Arial" w:hAnsi="Arial" w:cs="Arial"/>
          <w:sz w:val="20"/>
          <w:szCs w:val="20"/>
          <w:lang w:eastAsia="zh-TW"/>
        </w:rPr>
        <w:t>f</w:t>
      </w:r>
      <w:r w:rsidR="00F87AA2">
        <w:rPr>
          <w:rFonts w:ascii="Arial" w:hAnsi="Arial" w:cs="Arial"/>
          <w:sz w:val="20"/>
          <w:szCs w:val="20"/>
          <w:lang w:eastAsia="zh-TW"/>
        </w:rPr>
        <w:t xml:space="preserve"> </w:t>
      </w:r>
      <w:r w:rsidRPr="007470A8">
        <w:rPr>
          <w:rFonts w:ascii="Arial" w:hAnsi="Arial" w:cs="Arial"/>
          <w:sz w:val="20"/>
          <w:szCs w:val="20"/>
          <w:lang w:eastAsia="zh-TW"/>
        </w:rPr>
        <w:t xml:space="preserve">the resale of treasury shares by listed companies. Further guidance will be issued by the SFC specifically pertaining to real estate investment trusts. </w:t>
      </w:r>
    </w:p>
    <w:p w14:paraId="6DC81B6E" w14:textId="77777777" w:rsidR="002403BE" w:rsidRPr="007470A8" w:rsidRDefault="002403BE" w:rsidP="004D1795">
      <w:pPr>
        <w:spacing w:after="0"/>
        <w:jc w:val="both"/>
        <w:rPr>
          <w:rFonts w:ascii="Arial" w:hAnsi="Arial" w:cs="Arial"/>
          <w:sz w:val="20"/>
          <w:szCs w:val="20"/>
          <w:lang w:eastAsia="zh-TW"/>
        </w:rPr>
      </w:pPr>
    </w:p>
    <w:p w14:paraId="0F0C8C52" w14:textId="6FF2E38E" w:rsidR="00A634A4" w:rsidRPr="007470A8" w:rsidRDefault="00DA5701" w:rsidP="001E2257">
      <w:pPr>
        <w:spacing w:after="0"/>
        <w:jc w:val="both"/>
        <w:rPr>
          <w:rFonts w:ascii="Arial" w:hAnsi="Arial" w:cs="Arial"/>
          <w:sz w:val="20"/>
          <w:szCs w:val="20"/>
          <w:lang w:eastAsia="zh-TW"/>
        </w:rPr>
      </w:pPr>
      <w:r w:rsidRPr="007470A8">
        <w:rPr>
          <w:rFonts w:ascii="Arial" w:hAnsi="Arial" w:cs="Arial"/>
          <w:sz w:val="20"/>
          <w:szCs w:val="20"/>
          <w:lang w:eastAsia="zh-TW"/>
        </w:rPr>
        <w:t xml:space="preserve">Lastly, a resale of treasury shares </w:t>
      </w:r>
      <w:r w:rsidR="002403BE" w:rsidRPr="007470A8">
        <w:rPr>
          <w:rFonts w:ascii="Arial" w:hAnsi="Arial" w:cs="Arial"/>
          <w:sz w:val="20"/>
          <w:szCs w:val="20"/>
          <w:lang w:eastAsia="zh-TW"/>
        </w:rPr>
        <w:t xml:space="preserve">in </w:t>
      </w:r>
      <w:r w:rsidRPr="007470A8">
        <w:rPr>
          <w:rFonts w:ascii="Arial" w:hAnsi="Arial" w:cs="Arial"/>
          <w:sz w:val="20"/>
          <w:szCs w:val="20"/>
          <w:lang w:eastAsia="zh-TW"/>
        </w:rPr>
        <w:t>the secondary market will constitute a disposal of the shares for valuable consideration. Therefore, the contract notes must be stamped in accordance with the Stamp Duty Ordinance and are subject to ad valorem stamp duty.</w:t>
      </w:r>
    </w:p>
    <w:p w14:paraId="6CBF205C" w14:textId="77777777" w:rsidR="001E2257" w:rsidRPr="00C46FF7" w:rsidRDefault="001E2257" w:rsidP="001E2257">
      <w:pPr>
        <w:pStyle w:val="Disclaimer"/>
        <w:numPr>
          <w:ilvl w:val="0"/>
          <w:numId w:val="23"/>
        </w:numPr>
        <w:rPr>
          <w:rFonts w:ascii="Arial" w:hAnsi="Arial" w:cs="Arial"/>
          <w:sz w:val="22"/>
          <w:szCs w:val="22"/>
          <w:lang w:val="en-GB"/>
        </w:rPr>
      </w:pPr>
      <w:r w:rsidRPr="00C46FF7">
        <w:rPr>
          <w:rFonts w:ascii="Arial" w:hAnsi="Arial" w:cs="Arial"/>
          <w:sz w:val="22"/>
          <w:szCs w:val="22"/>
          <w:lang w:val="en-GB"/>
        </w:rPr>
        <w:t>Its contents do not constitute legal advice and it should not be regarded as a substitute for detailed advice in individual cases.</w:t>
      </w:r>
    </w:p>
    <w:p w14:paraId="7B49570A" w14:textId="77777777" w:rsidR="001E2257" w:rsidRPr="00C46FF7" w:rsidRDefault="001E2257" w:rsidP="001E2257">
      <w:pPr>
        <w:pStyle w:val="Disclaimer"/>
        <w:numPr>
          <w:ilvl w:val="0"/>
          <w:numId w:val="23"/>
        </w:numPr>
        <w:rPr>
          <w:rFonts w:ascii="Arial" w:hAnsi="Arial" w:cs="Arial"/>
          <w:sz w:val="22"/>
          <w:szCs w:val="22"/>
          <w:lang w:val="en-GB"/>
        </w:rPr>
      </w:pPr>
      <w:r w:rsidRPr="00C46FF7">
        <w:rPr>
          <w:rFonts w:ascii="Arial" w:hAnsi="Arial" w:cs="Arial"/>
          <w:sz w:val="22"/>
          <w:szCs w:val="22"/>
          <w:lang w:val="en-GB"/>
        </w:rPr>
        <w:t xml:space="preserve">Transmission of this information is not intended to create and receipt does not constitute a lawyer-client relationship between </w:t>
      </w: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and the user or browser.</w:t>
      </w:r>
    </w:p>
    <w:p w14:paraId="479D10F2" w14:textId="77777777" w:rsidR="001E2257" w:rsidRPr="00C46FF7" w:rsidRDefault="001E2257" w:rsidP="001E2257">
      <w:pPr>
        <w:pStyle w:val="Disclaimer"/>
        <w:numPr>
          <w:ilvl w:val="0"/>
          <w:numId w:val="23"/>
        </w:numPr>
        <w:rPr>
          <w:rFonts w:ascii="Arial" w:hAnsi="Arial" w:cs="Arial"/>
          <w:sz w:val="22"/>
          <w:szCs w:val="22"/>
          <w:lang w:val="en-GB"/>
        </w:rPr>
      </w:pP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is not responsible for any </w:t>
      </w:r>
      <w:proofErr w:type="gramStart"/>
      <w:r w:rsidRPr="00C46FF7">
        <w:rPr>
          <w:rFonts w:ascii="Arial" w:hAnsi="Arial" w:cs="Arial"/>
          <w:sz w:val="22"/>
          <w:szCs w:val="22"/>
          <w:lang w:val="en-GB"/>
        </w:rPr>
        <w:t>third party</w:t>
      </w:r>
      <w:proofErr w:type="gramEnd"/>
      <w:r w:rsidRPr="00C46FF7">
        <w:rPr>
          <w:rFonts w:ascii="Arial" w:hAnsi="Arial" w:cs="Arial"/>
          <w:sz w:val="22"/>
          <w:szCs w:val="22"/>
          <w:lang w:val="en-GB"/>
        </w:rPr>
        <w:t xml:space="preserve"> content which can be accessed through the website.</w:t>
      </w:r>
    </w:p>
    <w:p w14:paraId="6F9FE68F" w14:textId="77777777" w:rsidR="001E2257" w:rsidRPr="00C46FF7" w:rsidRDefault="001E2257" w:rsidP="001E2257">
      <w:pPr>
        <w:pStyle w:val="Disclaimer"/>
        <w:numPr>
          <w:ilvl w:val="0"/>
          <w:numId w:val="23"/>
        </w:numPr>
        <w:rPr>
          <w:rFonts w:ascii="Arial" w:hAnsi="Arial" w:cs="Arial"/>
          <w:sz w:val="22"/>
          <w:szCs w:val="22"/>
          <w:lang w:val="en-GB"/>
        </w:rPr>
      </w:pPr>
      <w:r w:rsidRPr="00C46FF7">
        <w:rPr>
          <w:rFonts w:ascii="Arial" w:hAnsi="Arial" w:cs="Arial"/>
          <w:sz w:val="22"/>
          <w:szCs w:val="22"/>
          <w:lang w:val="en-GB"/>
        </w:rPr>
        <w:t xml:space="preserve">If you do not wish to receive this </w:t>
      </w:r>
      <w:proofErr w:type="gramStart"/>
      <w:r w:rsidRPr="00C46FF7">
        <w:rPr>
          <w:rFonts w:ascii="Arial" w:hAnsi="Arial" w:cs="Arial"/>
          <w:sz w:val="22"/>
          <w:szCs w:val="22"/>
          <w:lang w:val="en-GB"/>
        </w:rPr>
        <w:t>newsletter</w:t>
      </w:r>
      <w:proofErr w:type="gramEnd"/>
      <w:r w:rsidRPr="00C46FF7">
        <w:rPr>
          <w:rFonts w:ascii="Arial" w:hAnsi="Arial" w:cs="Arial"/>
          <w:sz w:val="22"/>
          <w:szCs w:val="22"/>
          <w:lang w:val="en-GB"/>
        </w:rPr>
        <w:t xml:space="preserve"> please let us know by emailing us at  </w:t>
      </w:r>
      <w:hyperlink r:id="rId15">
        <w:r w:rsidRPr="00C46FF7">
          <w:rPr>
            <w:rFonts w:ascii="Arial" w:hAnsi="Arial" w:cs="Arial"/>
            <w:sz w:val="22"/>
            <w:szCs w:val="22"/>
            <w:lang w:val="en-GB"/>
          </w:rPr>
          <w:t>unsubscribe@charltonslaw.com</w:t>
        </w:r>
      </w:hyperlink>
    </w:p>
    <w:p w14:paraId="645CE333" w14:textId="5B914AE6" w:rsidR="001E2257" w:rsidRPr="00C46FF7" w:rsidRDefault="001E2257" w:rsidP="001E2257">
      <w:pPr>
        <w:pStyle w:val="BlackStrips"/>
        <w:numPr>
          <w:ilvl w:val="0"/>
          <w:numId w:val="23"/>
        </w:numPr>
        <w:rPr>
          <w:rFonts w:ascii="Arial" w:hAnsi="Arial" w:cs="Arial"/>
          <w:sz w:val="22"/>
          <w:szCs w:val="22"/>
          <w:lang w:val="en-GB"/>
        </w:rPr>
      </w:pP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 Hong Kong Law – </w:t>
      </w:r>
      <w:r w:rsidRPr="001E2257">
        <w:rPr>
          <w:rFonts w:ascii="Arial" w:eastAsia="Cambria" w:hAnsi="Arial" w:cs="Arial"/>
        </w:rPr>
        <w:t>2</w:t>
      </w:r>
      <w:r>
        <w:rPr>
          <w:rFonts w:ascii="Arial" w:eastAsia="Cambria" w:hAnsi="Arial" w:cs="Arial"/>
        </w:rPr>
        <w:t>4</w:t>
      </w:r>
      <w:r>
        <w:rPr>
          <w:rFonts w:ascii="Arial" w:eastAsia="Cambria" w:hAnsi="Arial" w:cs="Arial"/>
          <w:lang w:val="en-GB"/>
        </w:rPr>
        <w:t xml:space="preserve"> April 2024</w:t>
      </w:r>
    </w:p>
    <w:p w14:paraId="6F6FD1C5" w14:textId="77777777" w:rsidR="00A634A4" w:rsidRPr="007470A8" w:rsidRDefault="00A634A4" w:rsidP="004D1795">
      <w:pPr>
        <w:spacing w:after="0"/>
        <w:rPr>
          <w:rFonts w:ascii="Arial" w:hAnsi="Arial" w:cs="Arial"/>
          <w:sz w:val="20"/>
          <w:szCs w:val="20"/>
        </w:rPr>
      </w:pPr>
    </w:p>
    <w:p w14:paraId="2FCF644F" w14:textId="77777777" w:rsidR="00A634A4" w:rsidRPr="007470A8" w:rsidRDefault="00A634A4" w:rsidP="004D1795">
      <w:pPr>
        <w:spacing w:after="0"/>
        <w:rPr>
          <w:rFonts w:ascii="Arial" w:hAnsi="Arial" w:cs="Arial"/>
          <w:sz w:val="20"/>
          <w:szCs w:val="20"/>
        </w:rPr>
      </w:pPr>
    </w:p>
    <w:p w14:paraId="4247FA59" w14:textId="77777777" w:rsidR="00A634A4" w:rsidRPr="007470A8" w:rsidRDefault="00A634A4" w:rsidP="004D1795">
      <w:pPr>
        <w:spacing w:after="0"/>
        <w:rPr>
          <w:rFonts w:ascii="Arial" w:hAnsi="Arial" w:cs="Arial"/>
          <w:sz w:val="20"/>
          <w:szCs w:val="20"/>
        </w:rPr>
      </w:pPr>
    </w:p>
    <w:sectPr w:rsidR="00A634A4" w:rsidRPr="007470A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A626" w14:textId="77777777" w:rsidR="00CC4120" w:rsidRDefault="00CC4120">
      <w:pPr>
        <w:spacing w:after="0" w:line="240" w:lineRule="auto"/>
      </w:pPr>
      <w:r>
        <w:separator/>
      </w:r>
    </w:p>
  </w:endnote>
  <w:endnote w:type="continuationSeparator" w:id="0">
    <w:p w14:paraId="50B686F3" w14:textId="77777777" w:rsidR="00CC4120" w:rsidRDefault="00CC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0194" w14:textId="77777777" w:rsidR="00CC4120" w:rsidRDefault="00CC4120" w:rsidP="002F16F5">
      <w:pPr>
        <w:spacing w:after="0" w:line="240" w:lineRule="auto"/>
      </w:pPr>
      <w:r>
        <w:separator/>
      </w:r>
    </w:p>
  </w:footnote>
  <w:footnote w:type="continuationSeparator" w:id="0">
    <w:p w14:paraId="54F80D0B" w14:textId="77777777" w:rsidR="00CC4120" w:rsidRDefault="00CC4120" w:rsidP="002F16F5">
      <w:pPr>
        <w:spacing w:after="0" w:line="240" w:lineRule="auto"/>
      </w:pPr>
      <w:r>
        <w:continuationSeparator/>
      </w:r>
    </w:p>
  </w:footnote>
  <w:footnote w:id="1">
    <w:p w14:paraId="4AE392CB" w14:textId="77777777" w:rsidR="00D54468" w:rsidRDefault="00D54468" w:rsidP="00C6211E">
      <w:pPr>
        <w:pStyle w:val="a6"/>
      </w:pPr>
      <w:r>
        <w:rPr>
          <w:rStyle w:val="a8"/>
        </w:rPr>
        <w:footnoteRef/>
      </w:r>
      <w:r>
        <w:t xml:space="preserve"> </w:t>
      </w:r>
      <w:r w:rsidRPr="002F16F5">
        <w:t>GEM Rule 1.01</w:t>
      </w:r>
    </w:p>
  </w:footnote>
  <w:footnote w:id="2">
    <w:p w14:paraId="17834C71" w14:textId="77777777" w:rsidR="00D54468" w:rsidRDefault="00D54468" w:rsidP="00C6211E">
      <w:pPr>
        <w:pStyle w:val="a6"/>
      </w:pPr>
      <w:r>
        <w:rPr>
          <w:rStyle w:val="a8"/>
        </w:rPr>
        <w:footnoteRef/>
      </w:r>
      <w:r>
        <w:t xml:space="preserve"> GEM Rules </w:t>
      </w:r>
      <w:r w:rsidRPr="002F16F5">
        <w:t>13.14, 24.07 and 25.18</w:t>
      </w:r>
    </w:p>
  </w:footnote>
  <w:footnote w:id="3">
    <w:p w14:paraId="23184499" w14:textId="77777777" w:rsidR="00D54468" w:rsidRDefault="00D54468">
      <w:pPr>
        <w:pStyle w:val="a6"/>
      </w:pPr>
      <w:r>
        <w:rPr>
          <w:rStyle w:val="a8"/>
        </w:rPr>
        <w:footnoteRef/>
      </w:r>
      <w:r>
        <w:t xml:space="preserve"> GEM Rule 13.14</w:t>
      </w:r>
    </w:p>
  </w:footnote>
  <w:footnote w:id="4">
    <w:p w14:paraId="750C683D" w14:textId="77777777" w:rsidR="00D54468" w:rsidRDefault="00D54468">
      <w:pPr>
        <w:pStyle w:val="a6"/>
      </w:pPr>
      <w:r>
        <w:rPr>
          <w:rStyle w:val="a8"/>
        </w:rPr>
        <w:footnoteRef/>
      </w:r>
      <w:r>
        <w:t xml:space="preserve"> HKEX GL119-24 at paragraph 1</w:t>
      </w:r>
    </w:p>
  </w:footnote>
  <w:footnote w:id="5">
    <w:p w14:paraId="7807D103" w14:textId="77777777" w:rsidR="00D54468" w:rsidRDefault="00D54468">
      <w:pPr>
        <w:pStyle w:val="a6"/>
      </w:pPr>
      <w:r>
        <w:rPr>
          <w:rStyle w:val="a8"/>
        </w:rPr>
        <w:footnoteRef/>
      </w:r>
      <w:r>
        <w:t xml:space="preserve"> Ibid. at paragraph 8</w:t>
      </w:r>
    </w:p>
  </w:footnote>
  <w:footnote w:id="6">
    <w:p w14:paraId="5EEA4CCF" w14:textId="77777777" w:rsidR="00D54468" w:rsidRDefault="00D54468">
      <w:pPr>
        <w:pStyle w:val="a6"/>
      </w:pPr>
      <w:r>
        <w:rPr>
          <w:rStyle w:val="a8"/>
        </w:rPr>
        <w:footnoteRef/>
      </w:r>
      <w:r>
        <w:t xml:space="preserve"> Ibid. at paragraph 10</w:t>
      </w:r>
    </w:p>
  </w:footnote>
  <w:footnote w:id="7">
    <w:p w14:paraId="5D91909E" w14:textId="77777777" w:rsidR="00D54468" w:rsidRDefault="00D54468">
      <w:pPr>
        <w:pStyle w:val="a6"/>
      </w:pPr>
      <w:r>
        <w:rPr>
          <w:rStyle w:val="a8"/>
        </w:rPr>
        <w:footnoteRef/>
      </w:r>
      <w:r>
        <w:t xml:space="preserve"> Ibid. at paragraph 14</w:t>
      </w:r>
    </w:p>
  </w:footnote>
  <w:footnote w:id="8">
    <w:p w14:paraId="3465DB0F" w14:textId="77777777" w:rsidR="00D54468" w:rsidRPr="004D1795" w:rsidRDefault="00D54468">
      <w:pPr>
        <w:pStyle w:val="a6"/>
        <w:rPr>
          <w:lang w:val="en-HK"/>
        </w:rPr>
      </w:pPr>
      <w:r>
        <w:rPr>
          <w:rStyle w:val="a8"/>
        </w:rPr>
        <w:footnoteRef/>
      </w:r>
      <w:r>
        <w:t xml:space="preserve"> GEM Rules 2.06(6), 17.39A and 17.42E</w:t>
      </w:r>
    </w:p>
  </w:footnote>
  <w:footnote w:id="9">
    <w:p w14:paraId="4291AA3D" w14:textId="77777777" w:rsidR="00D54468" w:rsidRPr="00A2258C" w:rsidRDefault="00D54468">
      <w:pPr>
        <w:pStyle w:val="a6"/>
      </w:pPr>
      <w:r>
        <w:rPr>
          <w:rStyle w:val="a8"/>
        </w:rPr>
        <w:footnoteRef/>
      </w:r>
      <w:r>
        <w:t xml:space="preserve"> GEM Rule 17.42BB</w:t>
      </w:r>
    </w:p>
  </w:footnote>
  <w:footnote w:id="10">
    <w:p w14:paraId="693CAD31" w14:textId="77777777" w:rsidR="00D54468" w:rsidRDefault="00D54468" w:rsidP="00CA5F05">
      <w:pPr>
        <w:pStyle w:val="a6"/>
      </w:pPr>
      <w:r>
        <w:rPr>
          <w:rStyle w:val="a8"/>
        </w:rPr>
        <w:footnoteRef/>
      </w:r>
      <w:r>
        <w:t xml:space="preserve"> GEM Rules 17.39A and 17.42B</w:t>
      </w:r>
    </w:p>
  </w:footnote>
  <w:footnote w:id="11">
    <w:p w14:paraId="57CD1222" w14:textId="77777777" w:rsidR="008C1E6F" w:rsidRDefault="008C1E6F" w:rsidP="008C1E6F">
      <w:pPr>
        <w:pStyle w:val="a6"/>
      </w:pPr>
      <w:r>
        <w:rPr>
          <w:rStyle w:val="a8"/>
        </w:rPr>
        <w:footnoteRef/>
      </w:r>
      <w:r>
        <w:t xml:space="preserve"> GEM Rules Chapter 20, Rules 17.30, 14.06, 17.27A, 17.27B, 18.32 and 18.32A</w:t>
      </w:r>
    </w:p>
  </w:footnote>
  <w:footnote w:id="12">
    <w:p w14:paraId="713D7A51" w14:textId="77777777" w:rsidR="004B1B87" w:rsidRDefault="004B1B87" w:rsidP="004B1B87">
      <w:pPr>
        <w:pStyle w:val="a6"/>
      </w:pPr>
      <w:r>
        <w:rPr>
          <w:rStyle w:val="a8"/>
        </w:rPr>
        <w:footnoteRef/>
      </w:r>
      <w:r>
        <w:t xml:space="preserve"> GEM Rules 18.32 and 18.32A </w:t>
      </w:r>
    </w:p>
  </w:footnote>
  <w:footnote w:id="13">
    <w:p w14:paraId="5E8A58B4" w14:textId="77777777" w:rsidR="004B1B87" w:rsidRPr="001E2257" w:rsidRDefault="004B1B87">
      <w:pPr>
        <w:pStyle w:val="a6"/>
        <w:rPr>
          <w:lang w:val="en-HK"/>
        </w:rPr>
      </w:pPr>
      <w:r>
        <w:rPr>
          <w:rStyle w:val="a8"/>
        </w:rPr>
        <w:footnoteRef/>
      </w:r>
      <w:r>
        <w:t xml:space="preserve"> GEM Rules 18.55A</w:t>
      </w:r>
    </w:p>
  </w:footnote>
  <w:footnote w:id="14">
    <w:p w14:paraId="7C79E527" w14:textId="77777777" w:rsidR="00D54468" w:rsidRDefault="00D54468">
      <w:pPr>
        <w:pStyle w:val="a6"/>
      </w:pPr>
      <w:r>
        <w:rPr>
          <w:rStyle w:val="a8"/>
        </w:rPr>
        <w:footnoteRef/>
      </w:r>
      <w:r>
        <w:t xml:space="preserve"> GEM Rule 13.12</w:t>
      </w:r>
    </w:p>
  </w:footnote>
  <w:footnote w:id="15">
    <w:p w14:paraId="6B58FB5B" w14:textId="77777777" w:rsidR="00D54468" w:rsidRDefault="00D54468" w:rsidP="00F43861">
      <w:pPr>
        <w:pStyle w:val="a6"/>
      </w:pPr>
      <w:r>
        <w:rPr>
          <w:rStyle w:val="a8"/>
        </w:rPr>
        <w:footnoteRef/>
      </w:r>
      <w:r>
        <w:t xml:space="preserve"> GEM Rule 13.11(4) and 13.14A</w:t>
      </w:r>
    </w:p>
  </w:footnote>
  <w:footnote w:id="16">
    <w:p w14:paraId="4FAFCB5E" w14:textId="77777777" w:rsidR="00D54468" w:rsidRDefault="00D54468" w:rsidP="00F43861">
      <w:pPr>
        <w:pStyle w:val="a6"/>
      </w:pPr>
      <w:r>
        <w:rPr>
          <w:rStyle w:val="a8"/>
        </w:rPr>
        <w:footnoteRef/>
      </w:r>
      <w:r>
        <w:t xml:space="preserve"> GEM Rule 13.14A</w:t>
      </w:r>
    </w:p>
  </w:footnote>
  <w:footnote w:id="17">
    <w:p w14:paraId="2619B1FD" w14:textId="77777777" w:rsidR="00D54468" w:rsidRDefault="00D54468">
      <w:pPr>
        <w:pStyle w:val="a6"/>
      </w:pPr>
      <w:r>
        <w:rPr>
          <w:rStyle w:val="a8"/>
        </w:rPr>
        <w:footnoteRef/>
      </w:r>
      <w:r>
        <w:t xml:space="preserve"> GEM Rules 20.71(3), 20.90B and Note 1 to Rule 17.41</w:t>
      </w:r>
    </w:p>
  </w:footnote>
  <w:footnote w:id="18">
    <w:p w14:paraId="42CDEC69" w14:textId="77777777" w:rsidR="00D54468" w:rsidRDefault="00D54468">
      <w:pPr>
        <w:pStyle w:val="a6"/>
      </w:pPr>
      <w:r>
        <w:rPr>
          <w:rStyle w:val="a8"/>
        </w:rPr>
        <w:footnoteRef/>
      </w:r>
      <w:r>
        <w:t xml:space="preserve"> MB Rule 13.27A, GEM Rule 17.29A</w:t>
      </w:r>
    </w:p>
  </w:footnote>
  <w:footnote w:id="19">
    <w:p w14:paraId="70F34624" w14:textId="77777777" w:rsidR="00C7712F" w:rsidRDefault="00C7712F" w:rsidP="00C7712F">
      <w:pPr>
        <w:pStyle w:val="a6"/>
      </w:pPr>
      <w:r>
        <w:rPr>
          <w:rStyle w:val="a8"/>
        </w:rPr>
        <w:footnoteRef/>
      </w:r>
      <w:r>
        <w:t xml:space="preserve"> MB Rules 9.23(2), GEM Rules 12.27(6) </w:t>
      </w:r>
    </w:p>
  </w:footnote>
  <w:footnote w:id="20">
    <w:p w14:paraId="3FD6D6A7" w14:textId="77777777" w:rsidR="00C7712F" w:rsidRDefault="00C7712F" w:rsidP="00C7712F">
      <w:pPr>
        <w:pStyle w:val="a6"/>
      </w:pPr>
      <w:r>
        <w:rPr>
          <w:rStyle w:val="a8"/>
        </w:rPr>
        <w:footnoteRef/>
      </w:r>
      <w:r>
        <w:t xml:space="preserve"> MB Rules 9.23(2), GEM Rules 12.27(6) </w:t>
      </w:r>
    </w:p>
  </w:footnote>
  <w:footnote w:id="21">
    <w:p w14:paraId="2FF59D02" w14:textId="77777777" w:rsidR="00D54468" w:rsidRDefault="00D54468" w:rsidP="00AD6306">
      <w:pPr>
        <w:pStyle w:val="a6"/>
      </w:pPr>
      <w:r>
        <w:rPr>
          <w:rStyle w:val="a8"/>
        </w:rPr>
        <w:footnoteRef/>
      </w:r>
      <w:r>
        <w:t xml:space="preserve"> MB Paragraph 23(1A) of Appendix D1A and Paragraph 23(1A) of Appendix D1E / GEM Paragraph 23(1A) of Appendix D1A</w:t>
      </w:r>
    </w:p>
  </w:footnote>
  <w:footnote w:id="22">
    <w:p w14:paraId="7C95357B" w14:textId="77777777" w:rsidR="00D54468" w:rsidRDefault="00D54468" w:rsidP="00AD6306">
      <w:pPr>
        <w:pStyle w:val="a6"/>
      </w:pPr>
      <w:r>
        <w:rPr>
          <w:rStyle w:val="a8"/>
        </w:rPr>
        <w:footnoteRef/>
      </w:r>
      <w:r>
        <w:t xml:space="preserve"> GEM Rule 17.29</w:t>
      </w:r>
    </w:p>
  </w:footnote>
  <w:footnote w:id="23">
    <w:p w14:paraId="0331B523" w14:textId="77777777" w:rsidR="00D54468" w:rsidRDefault="00D54468">
      <w:pPr>
        <w:pStyle w:val="a6"/>
      </w:pPr>
      <w:r>
        <w:rPr>
          <w:rStyle w:val="a8"/>
        </w:rPr>
        <w:footnoteRef/>
      </w:r>
      <w:r>
        <w:t xml:space="preserve"> GEM Rule 1.01</w:t>
      </w:r>
    </w:p>
  </w:footnote>
  <w:footnote w:id="24">
    <w:p w14:paraId="24FEA029" w14:textId="77777777" w:rsidR="00D54468" w:rsidRDefault="00D54468">
      <w:pPr>
        <w:pStyle w:val="a6"/>
      </w:pPr>
      <w:r>
        <w:rPr>
          <w:rStyle w:val="a8"/>
        </w:rPr>
        <w:footnoteRef/>
      </w:r>
      <w:r>
        <w:t xml:space="preserve"> GEM Rules 19.44 and 20.35</w:t>
      </w:r>
    </w:p>
  </w:footnote>
  <w:footnote w:id="25">
    <w:p w14:paraId="57531153" w14:textId="77777777" w:rsidR="00D54468" w:rsidRDefault="00D54468">
      <w:pPr>
        <w:pStyle w:val="a6"/>
      </w:pPr>
      <w:r>
        <w:rPr>
          <w:rStyle w:val="a8"/>
        </w:rPr>
        <w:footnoteRef/>
      </w:r>
      <w:r>
        <w:t xml:space="preserve"> GEM Rule 13.08(12)</w:t>
      </w:r>
    </w:p>
  </w:footnote>
  <w:footnote w:id="26">
    <w:p w14:paraId="28CC721F" w14:textId="77777777" w:rsidR="00D54468" w:rsidRDefault="00D54468" w:rsidP="00E50B02">
      <w:pPr>
        <w:pStyle w:val="a6"/>
      </w:pPr>
      <w:r>
        <w:rPr>
          <w:rStyle w:val="a8"/>
        </w:rPr>
        <w:footnoteRef/>
      </w:r>
      <w:r>
        <w:t xml:space="preserve"> GEM Rule 13.13(1)</w:t>
      </w:r>
    </w:p>
  </w:footnote>
  <w:footnote w:id="27">
    <w:p w14:paraId="4642E85A" w14:textId="77777777" w:rsidR="00D54468" w:rsidRDefault="00D54468">
      <w:pPr>
        <w:pStyle w:val="a6"/>
      </w:pPr>
      <w:r>
        <w:rPr>
          <w:rStyle w:val="a8"/>
        </w:rPr>
        <w:footnoteRef/>
      </w:r>
      <w:r>
        <w:t xml:space="preserve"> GEM Rule 17.27A(2)(b)(vi)</w:t>
      </w:r>
    </w:p>
  </w:footnote>
  <w:footnote w:id="28">
    <w:p w14:paraId="0FD89D6A" w14:textId="77777777" w:rsidR="00D54468" w:rsidRDefault="00D54468">
      <w:pPr>
        <w:pStyle w:val="a6"/>
      </w:pPr>
      <w:r>
        <w:rPr>
          <w:rStyle w:val="a8"/>
        </w:rPr>
        <w:footnoteRef/>
      </w:r>
      <w:r>
        <w:t xml:space="preserve"> GEM Rule 1.01</w:t>
      </w:r>
    </w:p>
  </w:footnote>
  <w:footnote w:id="29">
    <w:p w14:paraId="041BA163" w14:textId="77777777" w:rsidR="00D54468" w:rsidRDefault="00D54468">
      <w:pPr>
        <w:pStyle w:val="a6"/>
      </w:pPr>
      <w:r>
        <w:rPr>
          <w:rStyle w:val="a8"/>
        </w:rPr>
        <w:footnoteRef/>
      </w:r>
      <w:r>
        <w:t xml:space="preserve"> GEM Rules 18.32, 18.32A and 18.55A</w:t>
      </w:r>
    </w:p>
  </w:footnote>
  <w:footnote w:id="30">
    <w:p w14:paraId="330AF715" w14:textId="77777777" w:rsidR="00D54468" w:rsidRDefault="00D54468">
      <w:pPr>
        <w:pStyle w:val="a6"/>
      </w:pPr>
      <w:r>
        <w:rPr>
          <w:rStyle w:val="a8"/>
        </w:rPr>
        <w:footnoteRef/>
      </w:r>
      <w:r>
        <w:t xml:space="preserve"> GEM </w:t>
      </w:r>
      <w:r w:rsidRPr="004C0F2C">
        <w:t xml:space="preserve">Rules </w:t>
      </w:r>
      <w:r>
        <w:t>23.07 and 23.09</w:t>
      </w:r>
    </w:p>
  </w:footnote>
  <w:footnote w:id="31">
    <w:p w14:paraId="46B5A93C" w14:textId="77777777" w:rsidR="00D54468" w:rsidRDefault="00D54468">
      <w:pPr>
        <w:pStyle w:val="a6"/>
      </w:pPr>
      <w:r>
        <w:rPr>
          <w:rStyle w:val="a8"/>
        </w:rPr>
        <w:footnoteRef/>
      </w:r>
      <w:r>
        <w:t xml:space="preserve"> GEM Rule 17.27A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007"/>
    <w:multiLevelType w:val="hybridMultilevel"/>
    <w:tmpl w:val="820C78CE"/>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3F7E"/>
    <w:multiLevelType w:val="hybridMultilevel"/>
    <w:tmpl w:val="9AE8407A"/>
    <w:lvl w:ilvl="0" w:tplc="95BA7BB2">
      <w:start w:val="1"/>
      <w:numFmt w:val="bullet"/>
      <w:lvlText w:val="•"/>
      <w:lvlJc w:val="left"/>
      <w:pPr>
        <w:ind w:left="1571" w:hanging="360"/>
      </w:pPr>
      <w:rPr>
        <w:rFonts w:ascii="Times New Roman" w:hAnsi="Times New Roman" w:cs="Times New Roman" w:hint="default"/>
      </w:rPr>
    </w:lvl>
    <w:lvl w:ilvl="1" w:tplc="E874588C" w:tentative="1">
      <w:start w:val="1"/>
      <w:numFmt w:val="bullet"/>
      <w:lvlText w:val="o"/>
      <w:lvlJc w:val="left"/>
      <w:pPr>
        <w:ind w:left="2291" w:hanging="360"/>
      </w:pPr>
      <w:rPr>
        <w:rFonts w:ascii="Courier New" w:hAnsi="Courier New" w:cs="Courier New" w:hint="default"/>
      </w:rPr>
    </w:lvl>
    <w:lvl w:ilvl="2" w:tplc="4568161E" w:tentative="1">
      <w:start w:val="1"/>
      <w:numFmt w:val="bullet"/>
      <w:lvlText w:val=""/>
      <w:lvlJc w:val="left"/>
      <w:pPr>
        <w:ind w:left="3011" w:hanging="360"/>
      </w:pPr>
      <w:rPr>
        <w:rFonts w:ascii="Wingdings" w:hAnsi="Wingdings" w:hint="default"/>
      </w:rPr>
    </w:lvl>
    <w:lvl w:ilvl="3" w:tplc="D78A60FA" w:tentative="1">
      <w:start w:val="1"/>
      <w:numFmt w:val="bullet"/>
      <w:lvlText w:val=""/>
      <w:lvlJc w:val="left"/>
      <w:pPr>
        <w:ind w:left="3731" w:hanging="360"/>
      </w:pPr>
      <w:rPr>
        <w:rFonts w:ascii="Symbol" w:hAnsi="Symbol" w:hint="default"/>
      </w:rPr>
    </w:lvl>
    <w:lvl w:ilvl="4" w:tplc="E7BE0E88" w:tentative="1">
      <w:start w:val="1"/>
      <w:numFmt w:val="bullet"/>
      <w:lvlText w:val="o"/>
      <w:lvlJc w:val="left"/>
      <w:pPr>
        <w:ind w:left="4451" w:hanging="360"/>
      </w:pPr>
      <w:rPr>
        <w:rFonts w:ascii="Courier New" w:hAnsi="Courier New" w:cs="Courier New" w:hint="default"/>
      </w:rPr>
    </w:lvl>
    <w:lvl w:ilvl="5" w:tplc="C46AB776" w:tentative="1">
      <w:start w:val="1"/>
      <w:numFmt w:val="bullet"/>
      <w:lvlText w:val=""/>
      <w:lvlJc w:val="left"/>
      <w:pPr>
        <w:ind w:left="5171" w:hanging="360"/>
      </w:pPr>
      <w:rPr>
        <w:rFonts w:ascii="Wingdings" w:hAnsi="Wingdings" w:hint="default"/>
      </w:rPr>
    </w:lvl>
    <w:lvl w:ilvl="6" w:tplc="B3A68A24" w:tentative="1">
      <w:start w:val="1"/>
      <w:numFmt w:val="bullet"/>
      <w:lvlText w:val=""/>
      <w:lvlJc w:val="left"/>
      <w:pPr>
        <w:ind w:left="5891" w:hanging="360"/>
      </w:pPr>
      <w:rPr>
        <w:rFonts w:ascii="Symbol" w:hAnsi="Symbol" w:hint="default"/>
      </w:rPr>
    </w:lvl>
    <w:lvl w:ilvl="7" w:tplc="1F72D198" w:tentative="1">
      <w:start w:val="1"/>
      <w:numFmt w:val="bullet"/>
      <w:lvlText w:val="o"/>
      <w:lvlJc w:val="left"/>
      <w:pPr>
        <w:ind w:left="6611" w:hanging="360"/>
      </w:pPr>
      <w:rPr>
        <w:rFonts w:ascii="Courier New" w:hAnsi="Courier New" w:cs="Courier New" w:hint="default"/>
      </w:rPr>
    </w:lvl>
    <w:lvl w:ilvl="8" w:tplc="600E8AC0" w:tentative="1">
      <w:start w:val="1"/>
      <w:numFmt w:val="bullet"/>
      <w:lvlText w:val=""/>
      <w:lvlJc w:val="left"/>
      <w:pPr>
        <w:ind w:left="7331" w:hanging="360"/>
      </w:pPr>
      <w:rPr>
        <w:rFonts w:ascii="Wingdings" w:hAnsi="Wingdings" w:hint="default"/>
      </w:rPr>
    </w:lvl>
  </w:abstractNum>
  <w:abstractNum w:abstractNumId="2" w15:restartNumberingAfterBreak="0">
    <w:nsid w:val="18425686"/>
    <w:multiLevelType w:val="hybridMultilevel"/>
    <w:tmpl w:val="7ABE491C"/>
    <w:lvl w:ilvl="0" w:tplc="95BA7BB2">
      <w:start w:val="1"/>
      <w:numFmt w:val="bullet"/>
      <w:lvlText w:val="•"/>
      <w:lvlJc w:val="left"/>
      <w:pPr>
        <w:ind w:left="1506" w:hanging="360"/>
      </w:pPr>
      <w:rPr>
        <w:rFonts w:ascii="Times New Roman" w:hAnsi="Times New Roman" w:cs="Times New Roman" w:hint="default"/>
      </w:rPr>
    </w:lvl>
    <w:lvl w:ilvl="1" w:tplc="1DE66066" w:tentative="1">
      <w:start w:val="1"/>
      <w:numFmt w:val="bullet"/>
      <w:lvlText w:val="o"/>
      <w:lvlJc w:val="left"/>
      <w:pPr>
        <w:ind w:left="2226" w:hanging="360"/>
      </w:pPr>
      <w:rPr>
        <w:rFonts w:ascii="Courier New" w:hAnsi="Courier New" w:cs="Courier New" w:hint="default"/>
      </w:rPr>
    </w:lvl>
    <w:lvl w:ilvl="2" w:tplc="9BA6A938" w:tentative="1">
      <w:start w:val="1"/>
      <w:numFmt w:val="bullet"/>
      <w:lvlText w:val=""/>
      <w:lvlJc w:val="left"/>
      <w:pPr>
        <w:ind w:left="2946" w:hanging="360"/>
      </w:pPr>
      <w:rPr>
        <w:rFonts w:ascii="Wingdings" w:hAnsi="Wingdings" w:hint="default"/>
      </w:rPr>
    </w:lvl>
    <w:lvl w:ilvl="3" w:tplc="6F1CFB72" w:tentative="1">
      <w:start w:val="1"/>
      <w:numFmt w:val="bullet"/>
      <w:lvlText w:val=""/>
      <w:lvlJc w:val="left"/>
      <w:pPr>
        <w:ind w:left="3666" w:hanging="360"/>
      </w:pPr>
      <w:rPr>
        <w:rFonts w:ascii="Symbol" w:hAnsi="Symbol" w:hint="default"/>
      </w:rPr>
    </w:lvl>
    <w:lvl w:ilvl="4" w:tplc="C89E0A7E" w:tentative="1">
      <w:start w:val="1"/>
      <w:numFmt w:val="bullet"/>
      <w:lvlText w:val="o"/>
      <w:lvlJc w:val="left"/>
      <w:pPr>
        <w:ind w:left="4386" w:hanging="360"/>
      </w:pPr>
      <w:rPr>
        <w:rFonts w:ascii="Courier New" w:hAnsi="Courier New" w:cs="Courier New" w:hint="default"/>
      </w:rPr>
    </w:lvl>
    <w:lvl w:ilvl="5" w:tplc="CB9C9B94" w:tentative="1">
      <w:start w:val="1"/>
      <w:numFmt w:val="bullet"/>
      <w:lvlText w:val=""/>
      <w:lvlJc w:val="left"/>
      <w:pPr>
        <w:ind w:left="5106" w:hanging="360"/>
      </w:pPr>
      <w:rPr>
        <w:rFonts w:ascii="Wingdings" w:hAnsi="Wingdings" w:hint="default"/>
      </w:rPr>
    </w:lvl>
    <w:lvl w:ilvl="6" w:tplc="1EE48D18" w:tentative="1">
      <w:start w:val="1"/>
      <w:numFmt w:val="bullet"/>
      <w:lvlText w:val=""/>
      <w:lvlJc w:val="left"/>
      <w:pPr>
        <w:ind w:left="5826" w:hanging="360"/>
      </w:pPr>
      <w:rPr>
        <w:rFonts w:ascii="Symbol" w:hAnsi="Symbol" w:hint="default"/>
      </w:rPr>
    </w:lvl>
    <w:lvl w:ilvl="7" w:tplc="46E63122" w:tentative="1">
      <w:start w:val="1"/>
      <w:numFmt w:val="bullet"/>
      <w:lvlText w:val="o"/>
      <w:lvlJc w:val="left"/>
      <w:pPr>
        <w:ind w:left="6546" w:hanging="360"/>
      </w:pPr>
      <w:rPr>
        <w:rFonts w:ascii="Courier New" w:hAnsi="Courier New" w:cs="Courier New" w:hint="default"/>
      </w:rPr>
    </w:lvl>
    <w:lvl w:ilvl="8" w:tplc="33E4FF16" w:tentative="1">
      <w:start w:val="1"/>
      <w:numFmt w:val="bullet"/>
      <w:lvlText w:val=""/>
      <w:lvlJc w:val="left"/>
      <w:pPr>
        <w:ind w:left="7266" w:hanging="360"/>
      </w:pPr>
      <w:rPr>
        <w:rFonts w:ascii="Wingdings" w:hAnsi="Wingdings" w:hint="default"/>
      </w:rPr>
    </w:lvl>
  </w:abstractNum>
  <w:abstractNum w:abstractNumId="3" w15:restartNumberingAfterBreak="0">
    <w:nsid w:val="192F5C63"/>
    <w:multiLevelType w:val="hybridMultilevel"/>
    <w:tmpl w:val="25D00D76"/>
    <w:lvl w:ilvl="0" w:tplc="459A76EC">
      <w:start w:val="1"/>
      <w:numFmt w:val="bullet"/>
      <w:lvlText w:val=""/>
      <w:lvlJc w:val="left"/>
      <w:pPr>
        <w:ind w:left="720" w:hanging="360"/>
      </w:pPr>
      <w:rPr>
        <w:rFonts w:ascii="Symbol" w:hAnsi="Symbol" w:hint="default"/>
      </w:rPr>
    </w:lvl>
    <w:lvl w:ilvl="1" w:tplc="AAD66826" w:tentative="1">
      <w:start w:val="1"/>
      <w:numFmt w:val="bullet"/>
      <w:lvlText w:val="o"/>
      <w:lvlJc w:val="left"/>
      <w:pPr>
        <w:ind w:left="1440" w:hanging="360"/>
      </w:pPr>
      <w:rPr>
        <w:rFonts w:ascii="Courier New" w:hAnsi="Courier New" w:cs="Courier New" w:hint="default"/>
      </w:rPr>
    </w:lvl>
    <w:lvl w:ilvl="2" w:tplc="D69CB4DE" w:tentative="1">
      <w:start w:val="1"/>
      <w:numFmt w:val="bullet"/>
      <w:lvlText w:val=""/>
      <w:lvlJc w:val="left"/>
      <w:pPr>
        <w:ind w:left="2160" w:hanging="360"/>
      </w:pPr>
      <w:rPr>
        <w:rFonts w:ascii="Wingdings" w:hAnsi="Wingdings" w:hint="default"/>
      </w:rPr>
    </w:lvl>
    <w:lvl w:ilvl="3" w:tplc="5176A1C4" w:tentative="1">
      <w:start w:val="1"/>
      <w:numFmt w:val="bullet"/>
      <w:lvlText w:val=""/>
      <w:lvlJc w:val="left"/>
      <w:pPr>
        <w:ind w:left="2880" w:hanging="360"/>
      </w:pPr>
      <w:rPr>
        <w:rFonts w:ascii="Symbol" w:hAnsi="Symbol" w:hint="default"/>
      </w:rPr>
    </w:lvl>
    <w:lvl w:ilvl="4" w:tplc="746253C2" w:tentative="1">
      <w:start w:val="1"/>
      <w:numFmt w:val="bullet"/>
      <w:lvlText w:val="o"/>
      <w:lvlJc w:val="left"/>
      <w:pPr>
        <w:ind w:left="3600" w:hanging="360"/>
      </w:pPr>
      <w:rPr>
        <w:rFonts w:ascii="Courier New" w:hAnsi="Courier New" w:cs="Courier New" w:hint="default"/>
      </w:rPr>
    </w:lvl>
    <w:lvl w:ilvl="5" w:tplc="AD14662E" w:tentative="1">
      <w:start w:val="1"/>
      <w:numFmt w:val="bullet"/>
      <w:lvlText w:val=""/>
      <w:lvlJc w:val="left"/>
      <w:pPr>
        <w:ind w:left="4320" w:hanging="360"/>
      </w:pPr>
      <w:rPr>
        <w:rFonts w:ascii="Wingdings" w:hAnsi="Wingdings" w:hint="default"/>
      </w:rPr>
    </w:lvl>
    <w:lvl w:ilvl="6" w:tplc="908CF17C" w:tentative="1">
      <w:start w:val="1"/>
      <w:numFmt w:val="bullet"/>
      <w:lvlText w:val=""/>
      <w:lvlJc w:val="left"/>
      <w:pPr>
        <w:ind w:left="5040" w:hanging="360"/>
      </w:pPr>
      <w:rPr>
        <w:rFonts w:ascii="Symbol" w:hAnsi="Symbol" w:hint="default"/>
      </w:rPr>
    </w:lvl>
    <w:lvl w:ilvl="7" w:tplc="E370C9B4" w:tentative="1">
      <w:start w:val="1"/>
      <w:numFmt w:val="bullet"/>
      <w:lvlText w:val="o"/>
      <w:lvlJc w:val="left"/>
      <w:pPr>
        <w:ind w:left="5760" w:hanging="360"/>
      </w:pPr>
      <w:rPr>
        <w:rFonts w:ascii="Courier New" w:hAnsi="Courier New" w:cs="Courier New" w:hint="default"/>
      </w:rPr>
    </w:lvl>
    <w:lvl w:ilvl="8" w:tplc="90EC4CCA" w:tentative="1">
      <w:start w:val="1"/>
      <w:numFmt w:val="bullet"/>
      <w:lvlText w:val=""/>
      <w:lvlJc w:val="left"/>
      <w:pPr>
        <w:ind w:left="6480" w:hanging="360"/>
      </w:pPr>
      <w:rPr>
        <w:rFonts w:ascii="Wingdings" w:hAnsi="Wingdings" w:hint="default"/>
      </w:rPr>
    </w:lvl>
  </w:abstractNum>
  <w:abstractNum w:abstractNumId="4" w15:restartNumberingAfterBreak="0">
    <w:nsid w:val="1BD60B42"/>
    <w:multiLevelType w:val="hybridMultilevel"/>
    <w:tmpl w:val="78443974"/>
    <w:lvl w:ilvl="0" w:tplc="5EC8954E">
      <w:start w:val="1"/>
      <w:numFmt w:val="bullet"/>
      <w:lvlText w:val=""/>
      <w:lvlJc w:val="left"/>
      <w:pPr>
        <w:ind w:left="360" w:hanging="360"/>
      </w:pPr>
      <w:rPr>
        <w:rFonts w:ascii="Symbol" w:hAnsi="Symbol" w:hint="default"/>
      </w:rPr>
    </w:lvl>
    <w:lvl w:ilvl="1" w:tplc="56A6A39E" w:tentative="1">
      <w:start w:val="1"/>
      <w:numFmt w:val="bullet"/>
      <w:lvlText w:val="o"/>
      <w:lvlJc w:val="left"/>
      <w:pPr>
        <w:ind w:left="1080" w:hanging="360"/>
      </w:pPr>
      <w:rPr>
        <w:rFonts w:ascii="Courier New" w:hAnsi="Courier New" w:cs="Courier New" w:hint="default"/>
      </w:rPr>
    </w:lvl>
    <w:lvl w:ilvl="2" w:tplc="8AD6D0F6" w:tentative="1">
      <w:start w:val="1"/>
      <w:numFmt w:val="bullet"/>
      <w:lvlText w:val=""/>
      <w:lvlJc w:val="left"/>
      <w:pPr>
        <w:ind w:left="1800" w:hanging="360"/>
      </w:pPr>
      <w:rPr>
        <w:rFonts w:ascii="Wingdings" w:hAnsi="Wingdings" w:hint="default"/>
      </w:rPr>
    </w:lvl>
    <w:lvl w:ilvl="3" w:tplc="1334131E" w:tentative="1">
      <w:start w:val="1"/>
      <w:numFmt w:val="bullet"/>
      <w:lvlText w:val=""/>
      <w:lvlJc w:val="left"/>
      <w:pPr>
        <w:ind w:left="2520" w:hanging="360"/>
      </w:pPr>
      <w:rPr>
        <w:rFonts w:ascii="Symbol" w:hAnsi="Symbol" w:hint="default"/>
      </w:rPr>
    </w:lvl>
    <w:lvl w:ilvl="4" w:tplc="BF1C1474" w:tentative="1">
      <w:start w:val="1"/>
      <w:numFmt w:val="bullet"/>
      <w:lvlText w:val="o"/>
      <w:lvlJc w:val="left"/>
      <w:pPr>
        <w:ind w:left="3240" w:hanging="360"/>
      </w:pPr>
      <w:rPr>
        <w:rFonts w:ascii="Courier New" w:hAnsi="Courier New" w:cs="Courier New" w:hint="default"/>
      </w:rPr>
    </w:lvl>
    <w:lvl w:ilvl="5" w:tplc="E36C49E6" w:tentative="1">
      <w:start w:val="1"/>
      <w:numFmt w:val="bullet"/>
      <w:lvlText w:val=""/>
      <w:lvlJc w:val="left"/>
      <w:pPr>
        <w:ind w:left="3960" w:hanging="360"/>
      </w:pPr>
      <w:rPr>
        <w:rFonts w:ascii="Wingdings" w:hAnsi="Wingdings" w:hint="default"/>
      </w:rPr>
    </w:lvl>
    <w:lvl w:ilvl="6" w:tplc="55D4094C" w:tentative="1">
      <w:start w:val="1"/>
      <w:numFmt w:val="bullet"/>
      <w:lvlText w:val=""/>
      <w:lvlJc w:val="left"/>
      <w:pPr>
        <w:ind w:left="4680" w:hanging="360"/>
      </w:pPr>
      <w:rPr>
        <w:rFonts w:ascii="Symbol" w:hAnsi="Symbol" w:hint="default"/>
      </w:rPr>
    </w:lvl>
    <w:lvl w:ilvl="7" w:tplc="EB689F96" w:tentative="1">
      <w:start w:val="1"/>
      <w:numFmt w:val="bullet"/>
      <w:lvlText w:val="o"/>
      <w:lvlJc w:val="left"/>
      <w:pPr>
        <w:ind w:left="5400" w:hanging="360"/>
      </w:pPr>
      <w:rPr>
        <w:rFonts w:ascii="Courier New" w:hAnsi="Courier New" w:cs="Courier New" w:hint="default"/>
      </w:rPr>
    </w:lvl>
    <w:lvl w:ilvl="8" w:tplc="BFEEAB52" w:tentative="1">
      <w:start w:val="1"/>
      <w:numFmt w:val="bullet"/>
      <w:lvlText w:val=""/>
      <w:lvlJc w:val="left"/>
      <w:pPr>
        <w:ind w:left="6120" w:hanging="360"/>
      </w:pPr>
      <w:rPr>
        <w:rFonts w:ascii="Wingdings" w:hAnsi="Wingdings" w:hint="default"/>
      </w:rPr>
    </w:lvl>
  </w:abstractNum>
  <w:abstractNum w:abstractNumId="5" w15:restartNumberingAfterBreak="0">
    <w:nsid w:val="1BF968C2"/>
    <w:multiLevelType w:val="hybridMultilevel"/>
    <w:tmpl w:val="60168DDE"/>
    <w:lvl w:ilvl="0" w:tplc="3954B80C">
      <w:start w:val="1"/>
      <w:numFmt w:val="bullet"/>
      <w:lvlText w:val=""/>
      <w:lvlJc w:val="left"/>
      <w:pPr>
        <w:ind w:left="1146" w:hanging="360"/>
      </w:pPr>
      <w:rPr>
        <w:rFonts w:ascii="Symbol" w:hAnsi="Symbol" w:hint="default"/>
      </w:rPr>
    </w:lvl>
    <w:lvl w:ilvl="1" w:tplc="3CB45084" w:tentative="1">
      <w:start w:val="1"/>
      <w:numFmt w:val="bullet"/>
      <w:lvlText w:val="o"/>
      <w:lvlJc w:val="left"/>
      <w:pPr>
        <w:ind w:left="1866" w:hanging="360"/>
      </w:pPr>
      <w:rPr>
        <w:rFonts w:ascii="Courier New" w:hAnsi="Courier New" w:cs="Courier New" w:hint="default"/>
      </w:rPr>
    </w:lvl>
    <w:lvl w:ilvl="2" w:tplc="4288D87C" w:tentative="1">
      <w:start w:val="1"/>
      <w:numFmt w:val="bullet"/>
      <w:lvlText w:val=""/>
      <w:lvlJc w:val="left"/>
      <w:pPr>
        <w:ind w:left="2586" w:hanging="360"/>
      </w:pPr>
      <w:rPr>
        <w:rFonts w:ascii="Wingdings" w:hAnsi="Wingdings" w:hint="default"/>
      </w:rPr>
    </w:lvl>
    <w:lvl w:ilvl="3" w:tplc="C03C5DE0" w:tentative="1">
      <w:start w:val="1"/>
      <w:numFmt w:val="bullet"/>
      <w:lvlText w:val=""/>
      <w:lvlJc w:val="left"/>
      <w:pPr>
        <w:ind w:left="3306" w:hanging="360"/>
      </w:pPr>
      <w:rPr>
        <w:rFonts w:ascii="Symbol" w:hAnsi="Symbol" w:hint="default"/>
      </w:rPr>
    </w:lvl>
    <w:lvl w:ilvl="4" w:tplc="EBFA7978" w:tentative="1">
      <w:start w:val="1"/>
      <w:numFmt w:val="bullet"/>
      <w:lvlText w:val="o"/>
      <w:lvlJc w:val="left"/>
      <w:pPr>
        <w:ind w:left="4026" w:hanging="360"/>
      </w:pPr>
      <w:rPr>
        <w:rFonts w:ascii="Courier New" w:hAnsi="Courier New" w:cs="Courier New" w:hint="default"/>
      </w:rPr>
    </w:lvl>
    <w:lvl w:ilvl="5" w:tplc="6CFEC588" w:tentative="1">
      <w:start w:val="1"/>
      <w:numFmt w:val="bullet"/>
      <w:lvlText w:val=""/>
      <w:lvlJc w:val="left"/>
      <w:pPr>
        <w:ind w:left="4746" w:hanging="360"/>
      </w:pPr>
      <w:rPr>
        <w:rFonts w:ascii="Wingdings" w:hAnsi="Wingdings" w:hint="default"/>
      </w:rPr>
    </w:lvl>
    <w:lvl w:ilvl="6" w:tplc="696CF390" w:tentative="1">
      <w:start w:val="1"/>
      <w:numFmt w:val="bullet"/>
      <w:lvlText w:val=""/>
      <w:lvlJc w:val="left"/>
      <w:pPr>
        <w:ind w:left="5466" w:hanging="360"/>
      </w:pPr>
      <w:rPr>
        <w:rFonts w:ascii="Symbol" w:hAnsi="Symbol" w:hint="default"/>
      </w:rPr>
    </w:lvl>
    <w:lvl w:ilvl="7" w:tplc="A70C1BFE" w:tentative="1">
      <w:start w:val="1"/>
      <w:numFmt w:val="bullet"/>
      <w:lvlText w:val="o"/>
      <w:lvlJc w:val="left"/>
      <w:pPr>
        <w:ind w:left="6186" w:hanging="360"/>
      </w:pPr>
      <w:rPr>
        <w:rFonts w:ascii="Courier New" w:hAnsi="Courier New" w:cs="Courier New" w:hint="default"/>
      </w:rPr>
    </w:lvl>
    <w:lvl w:ilvl="8" w:tplc="5986E882" w:tentative="1">
      <w:start w:val="1"/>
      <w:numFmt w:val="bullet"/>
      <w:lvlText w:val=""/>
      <w:lvlJc w:val="left"/>
      <w:pPr>
        <w:ind w:left="6906" w:hanging="360"/>
      </w:pPr>
      <w:rPr>
        <w:rFonts w:ascii="Wingdings" w:hAnsi="Wingdings" w:hint="default"/>
      </w:rPr>
    </w:lvl>
  </w:abstractNum>
  <w:abstractNum w:abstractNumId="6" w15:restartNumberingAfterBreak="0">
    <w:nsid w:val="276D395A"/>
    <w:multiLevelType w:val="hybridMultilevel"/>
    <w:tmpl w:val="F3243014"/>
    <w:lvl w:ilvl="0" w:tplc="95BA7BB2">
      <w:start w:val="1"/>
      <w:numFmt w:val="bullet"/>
      <w:lvlText w:val="•"/>
      <w:lvlJc w:val="left"/>
      <w:pPr>
        <w:ind w:left="1004" w:hanging="360"/>
      </w:pPr>
      <w:rPr>
        <w:rFonts w:ascii="Times New Roman" w:hAnsi="Times New Roman" w:cs="Times New Roman" w:hint="default"/>
      </w:rPr>
    </w:lvl>
    <w:lvl w:ilvl="1" w:tplc="532A0594" w:tentative="1">
      <w:start w:val="1"/>
      <w:numFmt w:val="bullet"/>
      <w:lvlText w:val="o"/>
      <w:lvlJc w:val="left"/>
      <w:pPr>
        <w:ind w:left="1724" w:hanging="360"/>
      </w:pPr>
      <w:rPr>
        <w:rFonts w:ascii="Courier New" w:hAnsi="Courier New" w:cs="Courier New" w:hint="default"/>
      </w:rPr>
    </w:lvl>
    <w:lvl w:ilvl="2" w:tplc="62A84A5C" w:tentative="1">
      <w:start w:val="1"/>
      <w:numFmt w:val="bullet"/>
      <w:lvlText w:val=""/>
      <w:lvlJc w:val="left"/>
      <w:pPr>
        <w:ind w:left="2444" w:hanging="360"/>
      </w:pPr>
      <w:rPr>
        <w:rFonts w:ascii="Wingdings" w:hAnsi="Wingdings" w:hint="default"/>
      </w:rPr>
    </w:lvl>
    <w:lvl w:ilvl="3" w:tplc="03702722" w:tentative="1">
      <w:start w:val="1"/>
      <w:numFmt w:val="bullet"/>
      <w:lvlText w:val=""/>
      <w:lvlJc w:val="left"/>
      <w:pPr>
        <w:ind w:left="3164" w:hanging="360"/>
      </w:pPr>
      <w:rPr>
        <w:rFonts w:ascii="Symbol" w:hAnsi="Symbol" w:hint="default"/>
      </w:rPr>
    </w:lvl>
    <w:lvl w:ilvl="4" w:tplc="AD62270A" w:tentative="1">
      <w:start w:val="1"/>
      <w:numFmt w:val="bullet"/>
      <w:lvlText w:val="o"/>
      <w:lvlJc w:val="left"/>
      <w:pPr>
        <w:ind w:left="3884" w:hanging="360"/>
      </w:pPr>
      <w:rPr>
        <w:rFonts w:ascii="Courier New" w:hAnsi="Courier New" w:cs="Courier New" w:hint="default"/>
      </w:rPr>
    </w:lvl>
    <w:lvl w:ilvl="5" w:tplc="008E8F4C" w:tentative="1">
      <w:start w:val="1"/>
      <w:numFmt w:val="bullet"/>
      <w:lvlText w:val=""/>
      <w:lvlJc w:val="left"/>
      <w:pPr>
        <w:ind w:left="4604" w:hanging="360"/>
      </w:pPr>
      <w:rPr>
        <w:rFonts w:ascii="Wingdings" w:hAnsi="Wingdings" w:hint="default"/>
      </w:rPr>
    </w:lvl>
    <w:lvl w:ilvl="6" w:tplc="CEE4A882" w:tentative="1">
      <w:start w:val="1"/>
      <w:numFmt w:val="bullet"/>
      <w:lvlText w:val=""/>
      <w:lvlJc w:val="left"/>
      <w:pPr>
        <w:ind w:left="5324" w:hanging="360"/>
      </w:pPr>
      <w:rPr>
        <w:rFonts w:ascii="Symbol" w:hAnsi="Symbol" w:hint="default"/>
      </w:rPr>
    </w:lvl>
    <w:lvl w:ilvl="7" w:tplc="32BE1B3A" w:tentative="1">
      <w:start w:val="1"/>
      <w:numFmt w:val="bullet"/>
      <w:lvlText w:val="o"/>
      <w:lvlJc w:val="left"/>
      <w:pPr>
        <w:ind w:left="6044" w:hanging="360"/>
      </w:pPr>
      <w:rPr>
        <w:rFonts w:ascii="Courier New" w:hAnsi="Courier New" w:cs="Courier New" w:hint="default"/>
      </w:rPr>
    </w:lvl>
    <w:lvl w:ilvl="8" w:tplc="E0F23A3C" w:tentative="1">
      <w:start w:val="1"/>
      <w:numFmt w:val="bullet"/>
      <w:lvlText w:val=""/>
      <w:lvlJc w:val="left"/>
      <w:pPr>
        <w:ind w:left="6764" w:hanging="360"/>
      </w:pPr>
      <w:rPr>
        <w:rFonts w:ascii="Wingdings" w:hAnsi="Wingdings" w:hint="default"/>
      </w:rPr>
    </w:lvl>
  </w:abstractNum>
  <w:abstractNum w:abstractNumId="7" w15:restartNumberingAfterBreak="0">
    <w:nsid w:val="2D462490"/>
    <w:multiLevelType w:val="hybridMultilevel"/>
    <w:tmpl w:val="FA8EAF28"/>
    <w:lvl w:ilvl="0" w:tplc="95BA7BB2">
      <w:start w:val="1"/>
      <w:numFmt w:val="bullet"/>
      <w:lvlText w:val="•"/>
      <w:lvlJc w:val="left"/>
      <w:pPr>
        <w:ind w:left="1493" w:hanging="360"/>
      </w:pPr>
      <w:rPr>
        <w:rFonts w:ascii="Times New Roman" w:hAnsi="Times New Roman" w:cs="Times New Roman"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15:restartNumberingAfterBreak="0">
    <w:nsid w:val="38CB7539"/>
    <w:multiLevelType w:val="hybridMultilevel"/>
    <w:tmpl w:val="D7264BFC"/>
    <w:lvl w:ilvl="0" w:tplc="54E093CC">
      <w:start w:val="1"/>
      <w:numFmt w:val="bullet"/>
      <w:lvlText w:val=""/>
      <w:lvlJc w:val="left"/>
      <w:pPr>
        <w:ind w:left="1146" w:hanging="360"/>
      </w:pPr>
      <w:rPr>
        <w:rFonts w:ascii="Symbol" w:hAnsi="Symbol" w:hint="default"/>
      </w:rPr>
    </w:lvl>
    <w:lvl w:ilvl="1" w:tplc="698ED386" w:tentative="1">
      <w:start w:val="1"/>
      <w:numFmt w:val="bullet"/>
      <w:lvlText w:val="o"/>
      <w:lvlJc w:val="left"/>
      <w:pPr>
        <w:ind w:left="1866" w:hanging="360"/>
      </w:pPr>
      <w:rPr>
        <w:rFonts w:ascii="Courier New" w:hAnsi="Courier New" w:cs="Courier New" w:hint="default"/>
      </w:rPr>
    </w:lvl>
    <w:lvl w:ilvl="2" w:tplc="7A6C018C" w:tentative="1">
      <w:start w:val="1"/>
      <w:numFmt w:val="bullet"/>
      <w:lvlText w:val=""/>
      <w:lvlJc w:val="left"/>
      <w:pPr>
        <w:ind w:left="2586" w:hanging="360"/>
      </w:pPr>
      <w:rPr>
        <w:rFonts w:ascii="Wingdings" w:hAnsi="Wingdings" w:hint="default"/>
      </w:rPr>
    </w:lvl>
    <w:lvl w:ilvl="3" w:tplc="90AC8214" w:tentative="1">
      <w:start w:val="1"/>
      <w:numFmt w:val="bullet"/>
      <w:lvlText w:val=""/>
      <w:lvlJc w:val="left"/>
      <w:pPr>
        <w:ind w:left="3306" w:hanging="360"/>
      </w:pPr>
      <w:rPr>
        <w:rFonts w:ascii="Symbol" w:hAnsi="Symbol" w:hint="default"/>
      </w:rPr>
    </w:lvl>
    <w:lvl w:ilvl="4" w:tplc="BB3ECA98" w:tentative="1">
      <w:start w:val="1"/>
      <w:numFmt w:val="bullet"/>
      <w:lvlText w:val="o"/>
      <w:lvlJc w:val="left"/>
      <w:pPr>
        <w:ind w:left="4026" w:hanging="360"/>
      </w:pPr>
      <w:rPr>
        <w:rFonts w:ascii="Courier New" w:hAnsi="Courier New" w:cs="Courier New" w:hint="default"/>
      </w:rPr>
    </w:lvl>
    <w:lvl w:ilvl="5" w:tplc="9E9AF8E8" w:tentative="1">
      <w:start w:val="1"/>
      <w:numFmt w:val="bullet"/>
      <w:lvlText w:val=""/>
      <w:lvlJc w:val="left"/>
      <w:pPr>
        <w:ind w:left="4746" w:hanging="360"/>
      </w:pPr>
      <w:rPr>
        <w:rFonts w:ascii="Wingdings" w:hAnsi="Wingdings" w:hint="default"/>
      </w:rPr>
    </w:lvl>
    <w:lvl w:ilvl="6" w:tplc="75188A1E" w:tentative="1">
      <w:start w:val="1"/>
      <w:numFmt w:val="bullet"/>
      <w:lvlText w:val=""/>
      <w:lvlJc w:val="left"/>
      <w:pPr>
        <w:ind w:left="5466" w:hanging="360"/>
      </w:pPr>
      <w:rPr>
        <w:rFonts w:ascii="Symbol" w:hAnsi="Symbol" w:hint="default"/>
      </w:rPr>
    </w:lvl>
    <w:lvl w:ilvl="7" w:tplc="21E261D8" w:tentative="1">
      <w:start w:val="1"/>
      <w:numFmt w:val="bullet"/>
      <w:lvlText w:val="o"/>
      <w:lvlJc w:val="left"/>
      <w:pPr>
        <w:ind w:left="6186" w:hanging="360"/>
      </w:pPr>
      <w:rPr>
        <w:rFonts w:ascii="Courier New" w:hAnsi="Courier New" w:cs="Courier New" w:hint="default"/>
      </w:rPr>
    </w:lvl>
    <w:lvl w:ilvl="8" w:tplc="322075EA" w:tentative="1">
      <w:start w:val="1"/>
      <w:numFmt w:val="bullet"/>
      <w:lvlText w:val=""/>
      <w:lvlJc w:val="left"/>
      <w:pPr>
        <w:ind w:left="6906" w:hanging="360"/>
      </w:pPr>
      <w:rPr>
        <w:rFonts w:ascii="Wingdings" w:hAnsi="Wingdings" w:hint="default"/>
      </w:rPr>
    </w:lvl>
  </w:abstractNum>
  <w:abstractNum w:abstractNumId="9" w15:restartNumberingAfterBreak="0">
    <w:nsid w:val="41B04476"/>
    <w:multiLevelType w:val="hybridMultilevel"/>
    <w:tmpl w:val="3CD652AA"/>
    <w:lvl w:ilvl="0" w:tplc="95BA7BB2">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9841E5F"/>
    <w:multiLevelType w:val="hybridMultilevel"/>
    <w:tmpl w:val="6B46BF80"/>
    <w:lvl w:ilvl="0" w:tplc="3416A6CA">
      <w:start w:val="1"/>
      <w:numFmt w:val="lowerLetter"/>
      <w:lvlText w:val="(%1)"/>
      <w:lvlJc w:val="left"/>
      <w:pPr>
        <w:ind w:left="720" w:hanging="360"/>
      </w:pPr>
      <w:rPr>
        <w:rFonts w:hint="default"/>
        <w:b/>
        <w:i w:val="0"/>
      </w:rPr>
    </w:lvl>
    <w:lvl w:ilvl="1" w:tplc="91A60682" w:tentative="1">
      <w:start w:val="1"/>
      <w:numFmt w:val="lowerLetter"/>
      <w:lvlText w:val="%2."/>
      <w:lvlJc w:val="left"/>
      <w:pPr>
        <w:ind w:left="1440" w:hanging="360"/>
      </w:pPr>
    </w:lvl>
    <w:lvl w:ilvl="2" w:tplc="24FE7E94" w:tentative="1">
      <w:start w:val="1"/>
      <w:numFmt w:val="lowerRoman"/>
      <w:lvlText w:val="%3."/>
      <w:lvlJc w:val="right"/>
      <w:pPr>
        <w:ind w:left="2160" w:hanging="180"/>
      </w:pPr>
    </w:lvl>
    <w:lvl w:ilvl="3" w:tplc="6158EB5C" w:tentative="1">
      <w:start w:val="1"/>
      <w:numFmt w:val="decimal"/>
      <w:lvlText w:val="%4."/>
      <w:lvlJc w:val="left"/>
      <w:pPr>
        <w:ind w:left="2880" w:hanging="360"/>
      </w:pPr>
    </w:lvl>
    <w:lvl w:ilvl="4" w:tplc="E076C5DA" w:tentative="1">
      <w:start w:val="1"/>
      <w:numFmt w:val="lowerLetter"/>
      <w:lvlText w:val="%5."/>
      <w:lvlJc w:val="left"/>
      <w:pPr>
        <w:ind w:left="3600" w:hanging="360"/>
      </w:pPr>
    </w:lvl>
    <w:lvl w:ilvl="5" w:tplc="F574F2D6" w:tentative="1">
      <w:start w:val="1"/>
      <w:numFmt w:val="lowerRoman"/>
      <w:lvlText w:val="%6."/>
      <w:lvlJc w:val="right"/>
      <w:pPr>
        <w:ind w:left="4320" w:hanging="180"/>
      </w:pPr>
    </w:lvl>
    <w:lvl w:ilvl="6" w:tplc="987C4D26" w:tentative="1">
      <w:start w:val="1"/>
      <w:numFmt w:val="decimal"/>
      <w:lvlText w:val="%7."/>
      <w:lvlJc w:val="left"/>
      <w:pPr>
        <w:ind w:left="5040" w:hanging="360"/>
      </w:pPr>
    </w:lvl>
    <w:lvl w:ilvl="7" w:tplc="F99A2CB8" w:tentative="1">
      <w:start w:val="1"/>
      <w:numFmt w:val="lowerLetter"/>
      <w:lvlText w:val="%8."/>
      <w:lvlJc w:val="left"/>
      <w:pPr>
        <w:ind w:left="5760" w:hanging="360"/>
      </w:pPr>
    </w:lvl>
    <w:lvl w:ilvl="8" w:tplc="09F421E0" w:tentative="1">
      <w:start w:val="1"/>
      <w:numFmt w:val="lowerRoman"/>
      <w:lvlText w:val="%9."/>
      <w:lvlJc w:val="right"/>
      <w:pPr>
        <w:ind w:left="6480" w:hanging="180"/>
      </w:pPr>
    </w:lvl>
  </w:abstractNum>
  <w:abstractNum w:abstractNumId="11" w15:restartNumberingAfterBreak="0">
    <w:nsid w:val="50CF660C"/>
    <w:multiLevelType w:val="hybridMultilevel"/>
    <w:tmpl w:val="9A6804E8"/>
    <w:lvl w:ilvl="0" w:tplc="66EE0EE4">
      <w:start w:val="1"/>
      <w:numFmt w:val="bullet"/>
      <w:lvlText w:val=""/>
      <w:lvlJc w:val="left"/>
      <w:pPr>
        <w:ind w:left="720" w:hanging="360"/>
      </w:pPr>
      <w:rPr>
        <w:rFonts w:ascii="Symbol" w:hAnsi="Symbol" w:hint="default"/>
      </w:rPr>
    </w:lvl>
    <w:lvl w:ilvl="1" w:tplc="A3CC6D48" w:tentative="1">
      <w:start w:val="1"/>
      <w:numFmt w:val="bullet"/>
      <w:lvlText w:val="o"/>
      <w:lvlJc w:val="left"/>
      <w:pPr>
        <w:ind w:left="1440" w:hanging="360"/>
      </w:pPr>
      <w:rPr>
        <w:rFonts w:ascii="Courier New" w:hAnsi="Courier New" w:cs="Courier New" w:hint="default"/>
      </w:rPr>
    </w:lvl>
    <w:lvl w:ilvl="2" w:tplc="0268A85C" w:tentative="1">
      <w:start w:val="1"/>
      <w:numFmt w:val="bullet"/>
      <w:lvlText w:val=""/>
      <w:lvlJc w:val="left"/>
      <w:pPr>
        <w:ind w:left="2160" w:hanging="360"/>
      </w:pPr>
      <w:rPr>
        <w:rFonts w:ascii="Wingdings" w:hAnsi="Wingdings" w:hint="default"/>
      </w:rPr>
    </w:lvl>
    <w:lvl w:ilvl="3" w:tplc="57688D20" w:tentative="1">
      <w:start w:val="1"/>
      <w:numFmt w:val="bullet"/>
      <w:lvlText w:val=""/>
      <w:lvlJc w:val="left"/>
      <w:pPr>
        <w:ind w:left="2880" w:hanging="360"/>
      </w:pPr>
      <w:rPr>
        <w:rFonts w:ascii="Symbol" w:hAnsi="Symbol" w:hint="default"/>
      </w:rPr>
    </w:lvl>
    <w:lvl w:ilvl="4" w:tplc="6A4EAF0C" w:tentative="1">
      <w:start w:val="1"/>
      <w:numFmt w:val="bullet"/>
      <w:lvlText w:val="o"/>
      <w:lvlJc w:val="left"/>
      <w:pPr>
        <w:ind w:left="3600" w:hanging="360"/>
      </w:pPr>
      <w:rPr>
        <w:rFonts w:ascii="Courier New" w:hAnsi="Courier New" w:cs="Courier New" w:hint="default"/>
      </w:rPr>
    </w:lvl>
    <w:lvl w:ilvl="5" w:tplc="DF5431D8" w:tentative="1">
      <w:start w:val="1"/>
      <w:numFmt w:val="bullet"/>
      <w:lvlText w:val=""/>
      <w:lvlJc w:val="left"/>
      <w:pPr>
        <w:ind w:left="4320" w:hanging="360"/>
      </w:pPr>
      <w:rPr>
        <w:rFonts w:ascii="Wingdings" w:hAnsi="Wingdings" w:hint="default"/>
      </w:rPr>
    </w:lvl>
    <w:lvl w:ilvl="6" w:tplc="B74A3128" w:tentative="1">
      <w:start w:val="1"/>
      <w:numFmt w:val="bullet"/>
      <w:lvlText w:val=""/>
      <w:lvlJc w:val="left"/>
      <w:pPr>
        <w:ind w:left="5040" w:hanging="360"/>
      </w:pPr>
      <w:rPr>
        <w:rFonts w:ascii="Symbol" w:hAnsi="Symbol" w:hint="default"/>
      </w:rPr>
    </w:lvl>
    <w:lvl w:ilvl="7" w:tplc="580ACFE0" w:tentative="1">
      <w:start w:val="1"/>
      <w:numFmt w:val="bullet"/>
      <w:lvlText w:val="o"/>
      <w:lvlJc w:val="left"/>
      <w:pPr>
        <w:ind w:left="5760" w:hanging="360"/>
      </w:pPr>
      <w:rPr>
        <w:rFonts w:ascii="Courier New" w:hAnsi="Courier New" w:cs="Courier New" w:hint="default"/>
      </w:rPr>
    </w:lvl>
    <w:lvl w:ilvl="8" w:tplc="7430E3C8" w:tentative="1">
      <w:start w:val="1"/>
      <w:numFmt w:val="bullet"/>
      <w:lvlText w:val=""/>
      <w:lvlJc w:val="left"/>
      <w:pPr>
        <w:ind w:left="6480" w:hanging="360"/>
      </w:pPr>
      <w:rPr>
        <w:rFonts w:ascii="Wingdings" w:hAnsi="Wingdings" w:hint="default"/>
      </w:rPr>
    </w:lvl>
  </w:abstractNum>
  <w:abstractNum w:abstractNumId="12" w15:restartNumberingAfterBreak="0">
    <w:nsid w:val="52FF5031"/>
    <w:multiLevelType w:val="hybridMultilevel"/>
    <w:tmpl w:val="7AA825F6"/>
    <w:lvl w:ilvl="0" w:tplc="0F46599E">
      <w:start w:val="1"/>
      <w:numFmt w:val="lowerLetter"/>
      <w:lvlText w:val="(%1)"/>
      <w:lvlJc w:val="left"/>
      <w:pPr>
        <w:ind w:left="786" w:hanging="360"/>
      </w:pPr>
      <w:rPr>
        <w:rFonts w:hint="default"/>
      </w:rPr>
    </w:lvl>
    <w:lvl w:ilvl="1" w:tplc="88E8D708" w:tentative="1">
      <w:start w:val="1"/>
      <w:numFmt w:val="lowerLetter"/>
      <w:lvlText w:val="%2."/>
      <w:lvlJc w:val="left"/>
      <w:pPr>
        <w:ind w:left="1506" w:hanging="360"/>
      </w:pPr>
    </w:lvl>
    <w:lvl w:ilvl="2" w:tplc="041E5A78" w:tentative="1">
      <w:start w:val="1"/>
      <w:numFmt w:val="lowerRoman"/>
      <w:lvlText w:val="%3."/>
      <w:lvlJc w:val="right"/>
      <w:pPr>
        <w:ind w:left="2226" w:hanging="180"/>
      </w:pPr>
    </w:lvl>
    <w:lvl w:ilvl="3" w:tplc="30B4BC80" w:tentative="1">
      <w:start w:val="1"/>
      <w:numFmt w:val="decimal"/>
      <w:lvlText w:val="%4."/>
      <w:lvlJc w:val="left"/>
      <w:pPr>
        <w:ind w:left="2946" w:hanging="360"/>
      </w:pPr>
    </w:lvl>
    <w:lvl w:ilvl="4" w:tplc="00561EFC" w:tentative="1">
      <w:start w:val="1"/>
      <w:numFmt w:val="lowerLetter"/>
      <w:lvlText w:val="%5."/>
      <w:lvlJc w:val="left"/>
      <w:pPr>
        <w:ind w:left="3666" w:hanging="360"/>
      </w:pPr>
    </w:lvl>
    <w:lvl w:ilvl="5" w:tplc="2AA8C26C" w:tentative="1">
      <w:start w:val="1"/>
      <w:numFmt w:val="lowerRoman"/>
      <w:lvlText w:val="%6."/>
      <w:lvlJc w:val="right"/>
      <w:pPr>
        <w:ind w:left="4386" w:hanging="180"/>
      </w:pPr>
    </w:lvl>
    <w:lvl w:ilvl="6" w:tplc="50CC21E0" w:tentative="1">
      <w:start w:val="1"/>
      <w:numFmt w:val="decimal"/>
      <w:lvlText w:val="%7."/>
      <w:lvlJc w:val="left"/>
      <w:pPr>
        <w:ind w:left="5106" w:hanging="360"/>
      </w:pPr>
    </w:lvl>
    <w:lvl w:ilvl="7" w:tplc="0FD0186C" w:tentative="1">
      <w:start w:val="1"/>
      <w:numFmt w:val="lowerLetter"/>
      <w:lvlText w:val="%8."/>
      <w:lvlJc w:val="left"/>
      <w:pPr>
        <w:ind w:left="5826" w:hanging="360"/>
      </w:pPr>
    </w:lvl>
    <w:lvl w:ilvl="8" w:tplc="5BEA9162" w:tentative="1">
      <w:start w:val="1"/>
      <w:numFmt w:val="lowerRoman"/>
      <w:lvlText w:val="%9."/>
      <w:lvlJc w:val="right"/>
      <w:pPr>
        <w:ind w:left="6546" w:hanging="180"/>
      </w:pPr>
    </w:lvl>
  </w:abstractNum>
  <w:abstractNum w:abstractNumId="13" w15:restartNumberingAfterBreak="0">
    <w:nsid w:val="54493709"/>
    <w:multiLevelType w:val="hybridMultilevel"/>
    <w:tmpl w:val="151AEEF2"/>
    <w:lvl w:ilvl="0" w:tplc="95BA7BB2">
      <w:start w:val="1"/>
      <w:numFmt w:val="bullet"/>
      <w:lvlText w:val="•"/>
      <w:lvlJc w:val="left"/>
      <w:pPr>
        <w:ind w:left="1560" w:hanging="360"/>
      </w:pPr>
      <w:rPr>
        <w:rFonts w:ascii="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59AC7095"/>
    <w:multiLevelType w:val="hybridMultilevel"/>
    <w:tmpl w:val="BFAC9C12"/>
    <w:lvl w:ilvl="0" w:tplc="6E5C5106">
      <w:start w:val="1"/>
      <w:numFmt w:val="bullet"/>
      <w:lvlText w:val=""/>
      <w:lvlJc w:val="left"/>
      <w:pPr>
        <w:ind w:left="1146" w:hanging="360"/>
      </w:pPr>
      <w:rPr>
        <w:rFonts w:ascii="Symbol" w:hAnsi="Symbol" w:hint="default"/>
      </w:rPr>
    </w:lvl>
    <w:lvl w:ilvl="1" w:tplc="AF3C15AE" w:tentative="1">
      <w:start w:val="1"/>
      <w:numFmt w:val="bullet"/>
      <w:lvlText w:val="o"/>
      <w:lvlJc w:val="left"/>
      <w:pPr>
        <w:ind w:left="1866" w:hanging="360"/>
      </w:pPr>
      <w:rPr>
        <w:rFonts w:ascii="Courier New" w:hAnsi="Courier New" w:cs="Courier New" w:hint="default"/>
      </w:rPr>
    </w:lvl>
    <w:lvl w:ilvl="2" w:tplc="FA10C9B8" w:tentative="1">
      <w:start w:val="1"/>
      <w:numFmt w:val="bullet"/>
      <w:lvlText w:val=""/>
      <w:lvlJc w:val="left"/>
      <w:pPr>
        <w:ind w:left="2586" w:hanging="360"/>
      </w:pPr>
      <w:rPr>
        <w:rFonts w:ascii="Wingdings" w:hAnsi="Wingdings" w:hint="default"/>
      </w:rPr>
    </w:lvl>
    <w:lvl w:ilvl="3" w:tplc="1624BB30" w:tentative="1">
      <w:start w:val="1"/>
      <w:numFmt w:val="bullet"/>
      <w:lvlText w:val=""/>
      <w:lvlJc w:val="left"/>
      <w:pPr>
        <w:ind w:left="3306" w:hanging="360"/>
      </w:pPr>
      <w:rPr>
        <w:rFonts w:ascii="Symbol" w:hAnsi="Symbol" w:hint="default"/>
      </w:rPr>
    </w:lvl>
    <w:lvl w:ilvl="4" w:tplc="C3DC5358" w:tentative="1">
      <w:start w:val="1"/>
      <w:numFmt w:val="bullet"/>
      <w:lvlText w:val="o"/>
      <w:lvlJc w:val="left"/>
      <w:pPr>
        <w:ind w:left="4026" w:hanging="360"/>
      </w:pPr>
      <w:rPr>
        <w:rFonts w:ascii="Courier New" w:hAnsi="Courier New" w:cs="Courier New" w:hint="default"/>
      </w:rPr>
    </w:lvl>
    <w:lvl w:ilvl="5" w:tplc="ECD8AEF2" w:tentative="1">
      <w:start w:val="1"/>
      <w:numFmt w:val="bullet"/>
      <w:lvlText w:val=""/>
      <w:lvlJc w:val="left"/>
      <w:pPr>
        <w:ind w:left="4746" w:hanging="360"/>
      </w:pPr>
      <w:rPr>
        <w:rFonts w:ascii="Wingdings" w:hAnsi="Wingdings" w:hint="default"/>
      </w:rPr>
    </w:lvl>
    <w:lvl w:ilvl="6" w:tplc="241A5DDA" w:tentative="1">
      <w:start w:val="1"/>
      <w:numFmt w:val="bullet"/>
      <w:lvlText w:val=""/>
      <w:lvlJc w:val="left"/>
      <w:pPr>
        <w:ind w:left="5466" w:hanging="360"/>
      </w:pPr>
      <w:rPr>
        <w:rFonts w:ascii="Symbol" w:hAnsi="Symbol" w:hint="default"/>
      </w:rPr>
    </w:lvl>
    <w:lvl w:ilvl="7" w:tplc="D12CFF48" w:tentative="1">
      <w:start w:val="1"/>
      <w:numFmt w:val="bullet"/>
      <w:lvlText w:val="o"/>
      <w:lvlJc w:val="left"/>
      <w:pPr>
        <w:ind w:left="6186" w:hanging="360"/>
      </w:pPr>
      <w:rPr>
        <w:rFonts w:ascii="Courier New" w:hAnsi="Courier New" w:cs="Courier New" w:hint="default"/>
      </w:rPr>
    </w:lvl>
    <w:lvl w:ilvl="8" w:tplc="2B82606A" w:tentative="1">
      <w:start w:val="1"/>
      <w:numFmt w:val="bullet"/>
      <w:lvlText w:val=""/>
      <w:lvlJc w:val="left"/>
      <w:pPr>
        <w:ind w:left="6906" w:hanging="360"/>
      </w:pPr>
      <w:rPr>
        <w:rFonts w:ascii="Wingdings" w:hAnsi="Wingdings" w:hint="default"/>
      </w:rPr>
    </w:lvl>
  </w:abstractNum>
  <w:abstractNum w:abstractNumId="15" w15:restartNumberingAfterBreak="0">
    <w:nsid w:val="5B366E89"/>
    <w:multiLevelType w:val="hybridMultilevel"/>
    <w:tmpl w:val="FF4496F2"/>
    <w:lvl w:ilvl="0" w:tplc="8C24E7CC">
      <w:start w:val="1"/>
      <w:numFmt w:val="bullet"/>
      <w:lvlText w:val=""/>
      <w:lvlJc w:val="left"/>
      <w:pPr>
        <w:ind w:left="1146" w:hanging="360"/>
      </w:pPr>
      <w:rPr>
        <w:rFonts w:ascii="Symbol" w:hAnsi="Symbol" w:hint="default"/>
      </w:rPr>
    </w:lvl>
    <w:lvl w:ilvl="1" w:tplc="26A62148" w:tentative="1">
      <w:start w:val="1"/>
      <w:numFmt w:val="bullet"/>
      <w:lvlText w:val="o"/>
      <w:lvlJc w:val="left"/>
      <w:pPr>
        <w:ind w:left="1866" w:hanging="360"/>
      </w:pPr>
      <w:rPr>
        <w:rFonts w:ascii="Courier New" w:hAnsi="Courier New" w:cs="Courier New" w:hint="default"/>
      </w:rPr>
    </w:lvl>
    <w:lvl w:ilvl="2" w:tplc="2864C8C6" w:tentative="1">
      <w:start w:val="1"/>
      <w:numFmt w:val="bullet"/>
      <w:lvlText w:val=""/>
      <w:lvlJc w:val="left"/>
      <w:pPr>
        <w:ind w:left="2586" w:hanging="360"/>
      </w:pPr>
      <w:rPr>
        <w:rFonts w:ascii="Wingdings" w:hAnsi="Wingdings" w:hint="default"/>
      </w:rPr>
    </w:lvl>
    <w:lvl w:ilvl="3" w:tplc="E5B2A37A" w:tentative="1">
      <w:start w:val="1"/>
      <w:numFmt w:val="bullet"/>
      <w:lvlText w:val=""/>
      <w:lvlJc w:val="left"/>
      <w:pPr>
        <w:ind w:left="3306" w:hanging="360"/>
      </w:pPr>
      <w:rPr>
        <w:rFonts w:ascii="Symbol" w:hAnsi="Symbol" w:hint="default"/>
      </w:rPr>
    </w:lvl>
    <w:lvl w:ilvl="4" w:tplc="0DCA7CB4" w:tentative="1">
      <w:start w:val="1"/>
      <w:numFmt w:val="bullet"/>
      <w:lvlText w:val="o"/>
      <w:lvlJc w:val="left"/>
      <w:pPr>
        <w:ind w:left="4026" w:hanging="360"/>
      </w:pPr>
      <w:rPr>
        <w:rFonts w:ascii="Courier New" w:hAnsi="Courier New" w:cs="Courier New" w:hint="default"/>
      </w:rPr>
    </w:lvl>
    <w:lvl w:ilvl="5" w:tplc="756C4CAC" w:tentative="1">
      <w:start w:val="1"/>
      <w:numFmt w:val="bullet"/>
      <w:lvlText w:val=""/>
      <w:lvlJc w:val="left"/>
      <w:pPr>
        <w:ind w:left="4746" w:hanging="360"/>
      </w:pPr>
      <w:rPr>
        <w:rFonts w:ascii="Wingdings" w:hAnsi="Wingdings" w:hint="default"/>
      </w:rPr>
    </w:lvl>
    <w:lvl w:ilvl="6" w:tplc="B00417A2" w:tentative="1">
      <w:start w:val="1"/>
      <w:numFmt w:val="bullet"/>
      <w:lvlText w:val=""/>
      <w:lvlJc w:val="left"/>
      <w:pPr>
        <w:ind w:left="5466" w:hanging="360"/>
      </w:pPr>
      <w:rPr>
        <w:rFonts w:ascii="Symbol" w:hAnsi="Symbol" w:hint="default"/>
      </w:rPr>
    </w:lvl>
    <w:lvl w:ilvl="7" w:tplc="F47273E6" w:tentative="1">
      <w:start w:val="1"/>
      <w:numFmt w:val="bullet"/>
      <w:lvlText w:val="o"/>
      <w:lvlJc w:val="left"/>
      <w:pPr>
        <w:ind w:left="6186" w:hanging="360"/>
      </w:pPr>
      <w:rPr>
        <w:rFonts w:ascii="Courier New" w:hAnsi="Courier New" w:cs="Courier New" w:hint="default"/>
      </w:rPr>
    </w:lvl>
    <w:lvl w:ilvl="8" w:tplc="A8D0A8DE" w:tentative="1">
      <w:start w:val="1"/>
      <w:numFmt w:val="bullet"/>
      <w:lvlText w:val=""/>
      <w:lvlJc w:val="left"/>
      <w:pPr>
        <w:ind w:left="6906" w:hanging="360"/>
      </w:pPr>
      <w:rPr>
        <w:rFonts w:ascii="Wingdings" w:hAnsi="Wingdings" w:hint="default"/>
      </w:rPr>
    </w:lvl>
  </w:abstractNum>
  <w:abstractNum w:abstractNumId="16" w15:restartNumberingAfterBreak="0">
    <w:nsid w:val="5C8F15F5"/>
    <w:multiLevelType w:val="hybridMultilevel"/>
    <w:tmpl w:val="4536A1EA"/>
    <w:lvl w:ilvl="0" w:tplc="3A068862">
      <w:start w:val="1"/>
      <w:numFmt w:val="decimal"/>
      <w:lvlText w:val="%1."/>
      <w:lvlJc w:val="left"/>
      <w:pPr>
        <w:ind w:left="720" w:hanging="360"/>
      </w:pPr>
      <w:rPr>
        <w:rFonts w:hint="default"/>
        <w:color w:val="FF0000"/>
      </w:rPr>
    </w:lvl>
    <w:lvl w:ilvl="1" w:tplc="12D616D6" w:tentative="1">
      <w:start w:val="1"/>
      <w:numFmt w:val="lowerLetter"/>
      <w:lvlText w:val="%2."/>
      <w:lvlJc w:val="left"/>
      <w:pPr>
        <w:ind w:left="1440" w:hanging="360"/>
      </w:pPr>
    </w:lvl>
    <w:lvl w:ilvl="2" w:tplc="90208F44" w:tentative="1">
      <w:start w:val="1"/>
      <w:numFmt w:val="lowerRoman"/>
      <w:lvlText w:val="%3."/>
      <w:lvlJc w:val="right"/>
      <w:pPr>
        <w:ind w:left="2160" w:hanging="180"/>
      </w:pPr>
    </w:lvl>
    <w:lvl w:ilvl="3" w:tplc="90A8E04C" w:tentative="1">
      <w:start w:val="1"/>
      <w:numFmt w:val="decimal"/>
      <w:lvlText w:val="%4."/>
      <w:lvlJc w:val="left"/>
      <w:pPr>
        <w:ind w:left="2880" w:hanging="360"/>
      </w:pPr>
    </w:lvl>
    <w:lvl w:ilvl="4" w:tplc="63DC67D8" w:tentative="1">
      <w:start w:val="1"/>
      <w:numFmt w:val="lowerLetter"/>
      <w:lvlText w:val="%5."/>
      <w:lvlJc w:val="left"/>
      <w:pPr>
        <w:ind w:left="3600" w:hanging="360"/>
      </w:pPr>
    </w:lvl>
    <w:lvl w:ilvl="5" w:tplc="39FE5094" w:tentative="1">
      <w:start w:val="1"/>
      <w:numFmt w:val="lowerRoman"/>
      <w:lvlText w:val="%6."/>
      <w:lvlJc w:val="right"/>
      <w:pPr>
        <w:ind w:left="4320" w:hanging="180"/>
      </w:pPr>
    </w:lvl>
    <w:lvl w:ilvl="6" w:tplc="A0380046" w:tentative="1">
      <w:start w:val="1"/>
      <w:numFmt w:val="decimal"/>
      <w:lvlText w:val="%7."/>
      <w:lvlJc w:val="left"/>
      <w:pPr>
        <w:ind w:left="5040" w:hanging="360"/>
      </w:pPr>
    </w:lvl>
    <w:lvl w:ilvl="7" w:tplc="C23AB47C" w:tentative="1">
      <w:start w:val="1"/>
      <w:numFmt w:val="lowerLetter"/>
      <w:lvlText w:val="%8."/>
      <w:lvlJc w:val="left"/>
      <w:pPr>
        <w:ind w:left="5760" w:hanging="360"/>
      </w:pPr>
    </w:lvl>
    <w:lvl w:ilvl="8" w:tplc="A37A2B6A" w:tentative="1">
      <w:start w:val="1"/>
      <w:numFmt w:val="lowerRoman"/>
      <w:lvlText w:val="%9."/>
      <w:lvlJc w:val="right"/>
      <w:pPr>
        <w:ind w:left="6480" w:hanging="180"/>
      </w:pPr>
    </w:lvl>
  </w:abstractNum>
  <w:abstractNum w:abstractNumId="17" w15:restartNumberingAfterBreak="0">
    <w:nsid w:val="619A114B"/>
    <w:multiLevelType w:val="hybridMultilevel"/>
    <w:tmpl w:val="F57AE548"/>
    <w:lvl w:ilvl="0" w:tplc="95BA7BB2">
      <w:start w:val="1"/>
      <w:numFmt w:val="bullet"/>
      <w:lvlText w:val="•"/>
      <w:lvlJc w:val="left"/>
      <w:pPr>
        <w:ind w:left="1560" w:hanging="360"/>
      </w:pPr>
      <w:rPr>
        <w:rFonts w:ascii="Times New Roman" w:hAnsi="Times New Roman" w:cs="Times New Roman" w:hint="default"/>
      </w:rPr>
    </w:lvl>
    <w:lvl w:ilvl="1" w:tplc="68166A7E">
      <w:start w:val="1"/>
      <w:numFmt w:val="bullet"/>
      <w:lvlText w:val="o"/>
      <w:lvlJc w:val="left"/>
      <w:pPr>
        <w:ind w:left="2280" w:hanging="360"/>
      </w:pPr>
      <w:rPr>
        <w:rFonts w:ascii="Courier New" w:hAnsi="Courier New" w:cs="Courier New" w:hint="default"/>
      </w:rPr>
    </w:lvl>
    <w:lvl w:ilvl="2" w:tplc="F4C6D202" w:tentative="1">
      <w:start w:val="1"/>
      <w:numFmt w:val="bullet"/>
      <w:lvlText w:val=""/>
      <w:lvlJc w:val="left"/>
      <w:pPr>
        <w:ind w:left="3000" w:hanging="360"/>
      </w:pPr>
      <w:rPr>
        <w:rFonts w:ascii="Wingdings" w:hAnsi="Wingdings" w:hint="default"/>
      </w:rPr>
    </w:lvl>
    <w:lvl w:ilvl="3" w:tplc="28BE8CB6" w:tentative="1">
      <w:start w:val="1"/>
      <w:numFmt w:val="bullet"/>
      <w:lvlText w:val=""/>
      <w:lvlJc w:val="left"/>
      <w:pPr>
        <w:ind w:left="3720" w:hanging="360"/>
      </w:pPr>
      <w:rPr>
        <w:rFonts w:ascii="Symbol" w:hAnsi="Symbol" w:hint="default"/>
      </w:rPr>
    </w:lvl>
    <w:lvl w:ilvl="4" w:tplc="BFFA8C96" w:tentative="1">
      <w:start w:val="1"/>
      <w:numFmt w:val="bullet"/>
      <w:lvlText w:val="o"/>
      <w:lvlJc w:val="left"/>
      <w:pPr>
        <w:ind w:left="4440" w:hanging="360"/>
      </w:pPr>
      <w:rPr>
        <w:rFonts w:ascii="Courier New" w:hAnsi="Courier New" w:cs="Courier New" w:hint="default"/>
      </w:rPr>
    </w:lvl>
    <w:lvl w:ilvl="5" w:tplc="BBBEFBB4" w:tentative="1">
      <w:start w:val="1"/>
      <w:numFmt w:val="bullet"/>
      <w:lvlText w:val=""/>
      <w:lvlJc w:val="left"/>
      <w:pPr>
        <w:ind w:left="5160" w:hanging="360"/>
      </w:pPr>
      <w:rPr>
        <w:rFonts w:ascii="Wingdings" w:hAnsi="Wingdings" w:hint="default"/>
      </w:rPr>
    </w:lvl>
    <w:lvl w:ilvl="6" w:tplc="DB3ABFD0" w:tentative="1">
      <w:start w:val="1"/>
      <w:numFmt w:val="bullet"/>
      <w:lvlText w:val=""/>
      <w:lvlJc w:val="left"/>
      <w:pPr>
        <w:ind w:left="5880" w:hanging="360"/>
      </w:pPr>
      <w:rPr>
        <w:rFonts w:ascii="Symbol" w:hAnsi="Symbol" w:hint="default"/>
      </w:rPr>
    </w:lvl>
    <w:lvl w:ilvl="7" w:tplc="0EB802A6" w:tentative="1">
      <w:start w:val="1"/>
      <w:numFmt w:val="bullet"/>
      <w:lvlText w:val="o"/>
      <w:lvlJc w:val="left"/>
      <w:pPr>
        <w:ind w:left="6600" w:hanging="360"/>
      </w:pPr>
      <w:rPr>
        <w:rFonts w:ascii="Courier New" w:hAnsi="Courier New" w:cs="Courier New" w:hint="default"/>
      </w:rPr>
    </w:lvl>
    <w:lvl w:ilvl="8" w:tplc="EB42CC52" w:tentative="1">
      <w:start w:val="1"/>
      <w:numFmt w:val="bullet"/>
      <w:lvlText w:val=""/>
      <w:lvlJc w:val="left"/>
      <w:pPr>
        <w:ind w:left="7320" w:hanging="360"/>
      </w:pPr>
      <w:rPr>
        <w:rFonts w:ascii="Wingdings" w:hAnsi="Wingdings" w:hint="default"/>
      </w:rPr>
    </w:lvl>
  </w:abstractNum>
  <w:abstractNum w:abstractNumId="18" w15:restartNumberingAfterBreak="0">
    <w:nsid w:val="62245D8C"/>
    <w:multiLevelType w:val="hybridMultilevel"/>
    <w:tmpl w:val="C6B835E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135B7"/>
    <w:multiLevelType w:val="hybridMultilevel"/>
    <w:tmpl w:val="C3A2C4B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A4655"/>
    <w:multiLevelType w:val="hybridMultilevel"/>
    <w:tmpl w:val="D4A2E68C"/>
    <w:lvl w:ilvl="0" w:tplc="C02CFE2E">
      <w:start w:val="1"/>
      <w:numFmt w:val="bullet"/>
      <w:lvlText w:val=""/>
      <w:lvlJc w:val="left"/>
      <w:pPr>
        <w:ind w:left="720" w:hanging="360"/>
      </w:pPr>
      <w:rPr>
        <w:rFonts w:ascii="Symbol" w:hAnsi="Symbol" w:hint="default"/>
      </w:rPr>
    </w:lvl>
    <w:lvl w:ilvl="1" w:tplc="DC8A2670" w:tentative="1">
      <w:start w:val="1"/>
      <w:numFmt w:val="bullet"/>
      <w:lvlText w:val="o"/>
      <w:lvlJc w:val="left"/>
      <w:pPr>
        <w:ind w:left="1440" w:hanging="360"/>
      </w:pPr>
      <w:rPr>
        <w:rFonts w:ascii="Courier New" w:hAnsi="Courier New" w:cs="Courier New" w:hint="default"/>
      </w:rPr>
    </w:lvl>
    <w:lvl w:ilvl="2" w:tplc="201C36CC" w:tentative="1">
      <w:start w:val="1"/>
      <w:numFmt w:val="bullet"/>
      <w:lvlText w:val=""/>
      <w:lvlJc w:val="left"/>
      <w:pPr>
        <w:ind w:left="2160" w:hanging="360"/>
      </w:pPr>
      <w:rPr>
        <w:rFonts w:ascii="Wingdings" w:hAnsi="Wingdings" w:hint="default"/>
      </w:rPr>
    </w:lvl>
    <w:lvl w:ilvl="3" w:tplc="A5961570" w:tentative="1">
      <w:start w:val="1"/>
      <w:numFmt w:val="bullet"/>
      <w:lvlText w:val=""/>
      <w:lvlJc w:val="left"/>
      <w:pPr>
        <w:ind w:left="2880" w:hanging="360"/>
      </w:pPr>
      <w:rPr>
        <w:rFonts w:ascii="Symbol" w:hAnsi="Symbol" w:hint="default"/>
      </w:rPr>
    </w:lvl>
    <w:lvl w:ilvl="4" w:tplc="C4D48332" w:tentative="1">
      <w:start w:val="1"/>
      <w:numFmt w:val="bullet"/>
      <w:lvlText w:val="o"/>
      <w:lvlJc w:val="left"/>
      <w:pPr>
        <w:ind w:left="3600" w:hanging="360"/>
      </w:pPr>
      <w:rPr>
        <w:rFonts w:ascii="Courier New" w:hAnsi="Courier New" w:cs="Courier New" w:hint="default"/>
      </w:rPr>
    </w:lvl>
    <w:lvl w:ilvl="5" w:tplc="AD46F5BC" w:tentative="1">
      <w:start w:val="1"/>
      <w:numFmt w:val="bullet"/>
      <w:lvlText w:val=""/>
      <w:lvlJc w:val="left"/>
      <w:pPr>
        <w:ind w:left="4320" w:hanging="360"/>
      </w:pPr>
      <w:rPr>
        <w:rFonts w:ascii="Wingdings" w:hAnsi="Wingdings" w:hint="default"/>
      </w:rPr>
    </w:lvl>
    <w:lvl w:ilvl="6" w:tplc="F4002570" w:tentative="1">
      <w:start w:val="1"/>
      <w:numFmt w:val="bullet"/>
      <w:lvlText w:val=""/>
      <w:lvlJc w:val="left"/>
      <w:pPr>
        <w:ind w:left="5040" w:hanging="360"/>
      </w:pPr>
      <w:rPr>
        <w:rFonts w:ascii="Symbol" w:hAnsi="Symbol" w:hint="default"/>
      </w:rPr>
    </w:lvl>
    <w:lvl w:ilvl="7" w:tplc="93EC7002" w:tentative="1">
      <w:start w:val="1"/>
      <w:numFmt w:val="bullet"/>
      <w:lvlText w:val="o"/>
      <w:lvlJc w:val="left"/>
      <w:pPr>
        <w:ind w:left="5760" w:hanging="360"/>
      </w:pPr>
      <w:rPr>
        <w:rFonts w:ascii="Courier New" w:hAnsi="Courier New" w:cs="Courier New" w:hint="default"/>
      </w:rPr>
    </w:lvl>
    <w:lvl w:ilvl="8" w:tplc="929E1BEE" w:tentative="1">
      <w:start w:val="1"/>
      <w:numFmt w:val="bullet"/>
      <w:lvlText w:val=""/>
      <w:lvlJc w:val="left"/>
      <w:pPr>
        <w:ind w:left="6480" w:hanging="360"/>
      </w:pPr>
      <w:rPr>
        <w:rFonts w:ascii="Wingdings" w:hAnsi="Wingdings" w:hint="default"/>
      </w:rPr>
    </w:lvl>
  </w:abstractNum>
  <w:abstractNum w:abstractNumId="22" w15:restartNumberingAfterBreak="0">
    <w:nsid w:val="73E56B30"/>
    <w:multiLevelType w:val="hybridMultilevel"/>
    <w:tmpl w:val="6A0A840C"/>
    <w:lvl w:ilvl="0" w:tplc="95BA7BB2">
      <w:start w:val="1"/>
      <w:numFmt w:val="bullet"/>
      <w:lvlText w:val="•"/>
      <w:lvlJc w:val="left"/>
      <w:pPr>
        <w:ind w:left="1146" w:hanging="360"/>
      </w:pPr>
      <w:rPr>
        <w:rFonts w:ascii="Times New Roman" w:hAnsi="Times New Roman" w:cs="Times New Roman" w:hint="default"/>
      </w:rPr>
    </w:lvl>
    <w:lvl w:ilvl="1" w:tplc="0FA6BE42" w:tentative="1">
      <w:start w:val="1"/>
      <w:numFmt w:val="bullet"/>
      <w:lvlText w:val="o"/>
      <w:lvlJc w:val="left"/>
      <w:pPr>
        <w:ind w:left="1866" w:hanging="360"/>
      </w:pPr>
      <w:rPr>
        <w:rFonts w:ascii="Courier New" w:hAnsi="Courier New" w:cs="Courier New" w:hint="default"/>
      </w:rPr>
    </w:lvl>
    <w:lvl w:ilvl="2" w:tplc="8BEA2272" w:tentative="1">
      <w:start w:val="1"/>
      <w:numFmt w:val="bullet"/>
      <w:lvlText w:val=""/>
      <w:lvlJc w:val="left"/>
      <w:pPr>
        <w:ind w:left="2586" w:hanging="360"/>
      </w:pPr>
      <w:rPr>
        <w:rFonts w:ascii="Wingdings" w:hAnsi="Wingdings" w:hint="default"/>
      </w:rPr>
    </w:lvl>
    <w:lvl w:ilvl="3" w:tplc="FB9C26A0" w:tentative="1">
      <w:start w:val="1"/>
      <w:numFmt w:val="bullet"/>
      <w:lvlText w:val=""/>
      <w:lvlJc w:val="left"/>
      <w:pPr>
        <w:ind w:left="3306" w:hanging="360"/>
      </w:pPr>
      <w:rPr>
        <w:rFonts w:ascii="Symbol" w:hAnsi="Symbol" w:hint="default"/>
      </w:rPr>
    </w:lvl>
    <w:lvl w:ilvl="4" w:tplc="0EC6410A" w:tentative="1">
      <w:start w:val="1"/>
      <w:numFmt w:val="bullet"/>
      <w:lvlText w:val="o"/>
      <w:lvlJc w:val="left"/>
      <w:pPr>
        <w:ind w:left="4026" w:hanging="360"/>
      </w:pPr>
      <w:rPr>
        <w:rFonts w:ascii="Courier New" w:hAnsi="Courier New" w:cs="Courier New" w:hint="default"/>
      </w:rPr>
    </w:lvl>
    <w:lvl w:ilvl="5" w:tplc="6AB2C662" w:tentative="1">
      <w:start w:val="1"/>
      <w:numFmt w:val="bullet"/>
      <w:lvlText w:val=""/>
      <w:lvlJc w:val="left"/>
      <w:pPr>
        <w:ind w:left="4746" w:hanging="360"/>
      </w:pPr>
      <w:rPr>
        <w:rFonts w:ascii="Wingdings" w:hAnsi="Wingdings" w:hint="default"/>
      </w:rPr>
    </w:lvl>
    <w:lvl w:ilvl="6" w:tplc="49C80204" w:tentative="1">
      <w:start w:val="1"/>
      <w:numFmt w:val="bullet"/>
      <w:lvlText w:val=""/>
      <w:lvlJc w:val="left"/>
      <w:pPr>
        <w:ind w:left="5466" w:hanging="360"/>
      </w:pPr>
      <w:rPr>
        <w:rFonts w:ascii="Symbol" w:hAnsi="Symbol" w:hint="default"/>
      </w:rPr>
    </w:lvl>
    <w:lvl w:ilvl="7" w:tplc="BC1E6522" w:tentative="1">
      <w:start w:val="1"/>
      <w:numFmt w:val="bullet"/>
      <w:lvlText w:val="o"/>
      <w:lvlJc w:val="left"/>
      <w:pPr>
        <w:ind w:left="6186" w:hanging="360"/>
      </w:pPr>
      <w:rPr>
        <w:rFonts w:ascii="Courier New" w:hAnsi="Courier New" w:cs="Courier New" w:hint="default"/>
      </w:rPr>
    </w:lvl>
    <w:lvl w:ilvl="8" w:tplc="49C2095A" w:tentative="1">
      <w:start w:val="1"/>
      <w:numFmt w:val="bullet"/>
      <w:lvlText w:val=""/>
      <w:lvlJc w:val="left"/>
      <w:pPr>
        <w:ind w:left="6906" w:hanging="360"/>
      </w:pPr>
      <w:rPr>
        <w:rFonts w:ascii="Wingdings" w:hAnsi="Wingdings" w:hint="default"/>
      </w:rPr>
    </w:lvl>
  </w:abstractNum>
  <w:num w:numId="1" w16cid:durableId="641469731">
    <w:abstractNumId w:val="16"/>
  </w:num>
  <w:num w:numId="2" w16cid:durableId="519390325">
    <w:abstractNumId w:val="8"/>
  </w:num>
  <w:num w:numId="3" w16cid:durableId="565576498">
    <w:abstractNumId w:val="11"/>
  </w:num>
  <w:num w:numId="4" w16cid:durableId="737019472">
    <w:abstractNumId w:val="14"/>
  </w:num>
  <w:num w:numId="5" w16cid:durableId="1162235776">
    <w:abstractNumId w:val="15"/>
  </w:num>
  <w:num w:numId="6" w16cid:durableId="1991472578">
    <w:abstractNumId w:val="5"/>
  </w:num>
  <w:num w:numId="7" w16cid:durableId="624384254">
    <w:abstractNumId w:val="22"/>
  </w:num>
  <w:num w:numId="8" w16cid:durableId="1264921465">
    <w:abstractNumId w:val="12"/>
  </w:num>
  <w:num w:numId="9" w16cid:durableId="1251507791">
    <w:abstractNumId w:val="17"/>
  </w:num>
  <w:num w:numId="10" w16cid:durableId="1454637959">
    <w:abstractNumId w:val="10"/>
  </w:num>
  <w:num w:numId="11" w16cid:durableId="1253507898">
    <w:abstractNumId w:val="1"/>
  </w:num>
  <w:num w:numId="12" w16cid:durableId="831140289">
    <w:abstractNumId w:val="6"/>
  </w:num>
  <w:num w:numId="13" w16cid:durableId="624392510">
    <w:abstractNumId w:val="21"/>
  </w:num>
  <w:num w:numId="14" w16cid:durableId="1761372321">
    <w:abstractNumId w:val="4"/>
  </w:num>
  <w:num w:numId="15" w16cid:durableId="2087222774">
    <w:abstractNumId w:val="3"/>
  </w:num>
  <w:num w:numId="16" w16cid:durableId="1630277116">
    <w:abstractNumId w:val="2"/>
  </w:num>
  <w:num w:numId="17" w16cid:durableId="2022507861">
    <w:abstractNumId w:val="18"/>
  </w:num>
  <w:num w:numId="18" w16cid:durableId="1603997113">
    <w:abstractNumId w:val="0"/>
  </w:num>
  <w:num w:numId="19" w16cid:durableId="587889756">
    <w:abstractNumId w:val="9"/>
  </w:num>
  <w:num w:numId="20" w16cid:durableId="797989794">
    <w:abstractNumId w:val="19"/>
  </w:num>
  <w:num w:numId="21" w16cid:durableId="676538096">
    <w:abstractNumId w:val="13"/>
  </w:num>
  <w:num w:numId="22" w16cid:durableId="863440257">
    <w:abstractNumId w:val="7"/>
  </w:num>
  <w:num w:numId="23" w16cid:durableId="17348091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0"/>
  <w:activeWritingStyle w:appName="MSWord" w:lang="en-HK"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E6"/>
    <w:rsid w:val="00000C35"/>
    <w:rsid w:val="0000404A"/>
    <w:rsid w:val="00013104"/>
    <w:rsid w:val="00036F68"/>
    <w:rsid w:val="0003773E"/>
    <w:rsid w:val="00044A0D"/>
    <w:rsid w:val="00067497"/>
    <w:rsid w:val="000751C8"/>
    <w:rsid w:val="00091D24"/>
    <w:rsid w:val="00095EEC"/>
    <w:rsid w:val="000D5196"/>
    <w:rsid w:val="00165334"/>
    <w:rsid w:val="001770E7"/>
    <w:rsid w:val="0018253B"/>
    <w:rsid w:val="001876AE"/>
    <w:rsid w:val="0019535C"/>
    <w:rsid w:val="001A592B"/>
    <w:rsid w:val="001D5CD6"/>
    <w:rsid w:val="001E2257"/>
    <w:rsid w:val="001F2613"/>
    <w:rsid w:val="002403BE"/>
    <w:rsid w:val="00262EBF"/>
    <w:rsid w:val="002B3B9A"/>
    <w:rsid w:val="002B40E8"/>
    <w:rsid w:val="002C6A2D"/>
    <w:rsid w:val="002D3CB9"/>
    <w:rsid w:val="002F0F78"/>
    <w:rsid w:val="002F16F5"/>
    <w:rsid w:val="00331BC8"/>
    <w:rsid w:val="003606B4"/>
    <w:rsid w:val="003949C3"/>
    <w:rsid w:val="003A409C"/>
    <w:rsid w:val="003B1AE2"/>
    <w:rsid w:val="003B47CC"/>
    <w:rsid w:val="003C506D"/>
    <w:rsid w:val="003D747D"/>
    <w:rsid w:val="003E2C88"/>
    <w:rsid w:val="003E38C6"/>
    <w:rsid w:val="00422CDF"/>
    <w:rsid w:val="00450E52"/>
    <w:rsid w:val="00455484"/>
    <w:rsid w:val="00455F69"/>
    <w:rsid w:val="00457216"/>
    <w:rsid w:val="004662DF"/>
    <w:rsid w:val="004A07FA"/>
    <w:rsid w:val="004A3A82"/>
    <w:rsid w:val="004B13BD"/>
    <w:rsid w:val="004B1B87"/>
    <w:rsid w:val="004C0F2C"/>
    <w:rsid w:val="004C6E43"/>
    <w:rsid w:val="004D13DF"/>
    <w:rsid w:val="004D1795"/>
    <w:rsid w:val="004F542E"/>
    <w:rsid w:val="00527BE6"/>
    <w:rsid w:val="00531011"/>
    <w:rsid w:val="00541BFF"/>
    <w:rsid w:val="005517FF"/>
    <w:rsid w:val="0056007D"/>
    <w:rsid w:val="00567ADA"/>
    <w:rsid w:val="00585022"/>
    <w:rsid w:val="00593DFE"/>
    <w:rsid w:val="005B45BD"/>
    <w:rsid w:val="005B5E38"/>
    <w:rsid w:val="005D0F5F"/>
    <w:rsid w:val="005E2D1B"/>
    <w:rsid w:val="005E7547"/>
    <w:rsid w:val="00600D4D"/>
    <w:rsid w:val="00601D35"/>
    <w:rsid w:val="006342A8"/>
    <w:rsid w:val="00637B3B"/>
    <w:rsid w:val="00663ED5"/>
    <w:rsid w:val="006770D1"/>
    <w:rsid w:val="006A4DE9"/>
    <w:rsid w:val="006B30A9"/>
    <w:rsid w:val="006B53E7"/>
    <w:rsid w:val="006F3A0A"/>
    <w:rsid w:val="007011C8"/>
    <w:rsid w:val="007458D1"/>
    <w:rsid w:val="007470A8"/>
    <w:rsid w:val="00767841"/>
    <w:rsid w:val="00776096"/>
    <w:rsid w:val="00780364"/>
    <w:rsid w:val="00787284"/>
    <w:rsid w:val="00803F06"/>
    <w:rsid w:val="0082074E"/>
    <w:rsid w:val="00824054"/>
    <w:rsid w:val="00830806"/>
    <w:rsid w:val="00863296"/>
    <w:rsid w:val="00866E83"/>
    <w:rsid w:val="00870719"/>
    <w:rsid w:val="00876C69"/>
    <w:rsid w:val="008874BF"/>
    <w:rsid w:val="008974E3"/>
    <w:rsid w:val="008A26F5"/>
    <w:rsid w:val="008B7E6F"/>
    <w:rsid w:val="008C1E6F"/>
    <w:rsid w:val="008E4A8B"/>
    <w:rsid w:val="008E67B4"/>
    <w:rsid w:val="00912388"/>
    <w:rsid w:val="00920662"/>
    <w:rsid w:val="00963263"/>
    <w:rsid w:val="00964D01"/>
    <w:rsid w:val="00982D15"/>
    <w:rsid w:val="009A0ABF"/>
    <w:rsid w:val="009A19D0"/>
    <w:rsid w:val="009A6B49"/>
    <w:rsid w:val="009B0012"/>
    <w:rsid w:val="009B62FB"/>
    <w:rsid w:val="009D31CC"/>
    <w:rsid w:val="00A00502"/>
    <w:rsid w:val="00A00D43"/>
    <w:rsid w:val="00A06A13"/>
    <w:rsid w:val="00A16171"/>
    <w:rsid w:val="00A20F22"/>
    <w:rsid w:val="00A2258C"/>
    <w:rsid w:val="00A33923"/>
    <w:rsid w:val="00A634A4"/>
    <w:rsid w:val="00A71106"/>
    <w:rsid w:val="00AB18C4"/>
    <w:rsid w:val="00AC6092"/>
    <w:rsid w:val="00AD6306"/>
    <w:rsid w:val="00AE6B7A"/>
    <w:rsid w:val="00B05A4D"/>
    <w:rsid w:val="00B12A26"/>
    <w:rsid w:val="00B20845"/>
    <w:rsid w:val="00B513B7"/>
    <w:rsid w:val="00B553CB"/>
    <w:rsid w:val="00B61745"/>
    <w:rsid w:val="00B62C0E"/>
    <w:rsid w:val="00BA2B4E"/>
    <w:rsid w:val="00BA71DE"/>
    <w:rsid w:val="00BE1A60"/>
    <w:rsid w:val="00BF2953"/>
    <w:rsid w:val="00C2224E"/>
    <w:rsid w:val="00C2274E"/>
    <w:rsid w:val="00C33458"/>
    <w:rsid w:val="00C33B4D"/>
    <w:rsid w:val="00C4029D"/>
    <w:rsid w:val="00C56278"/>
    <w:rsid w:val="00C6211E"/>
    <w:rsid w:val="00C645D8"/>
    <w:rsid w:val="00C7712F"/>
    <w:rsid w:val="00C95F1E"/>
    <w:rsid w:val="00CA0D94"/>
    <w:rsid w:val="00CA4D55"/>
    <w:rsid w:val="00CA5F05"/>
    <w:rsid w:val="00CC4120"/>
    <w:rsid w:val="00CD5837"/>
    <w:rsid w:val="00CE2385"/>
    <w:rsid w:val="00CE5153"/>
    <w:rsid w:val="00CF1271"/>
    <w:rsid w:val="00D073AE"/>
    <w:rsid w:val="00D3771C"/>
    <w:rsid w:val="00D400E0"/>
    <w:rsid w:val="00D441F1"/>
    <w:rsid w:val="00D47AA2"/>
    <w:rsid w:val="00D532E4"/>
    <w:rsid w:val="00D54468"/>
    <w:rsid w:val="00D63BC3"/>
    <w:rsid w:val="00D86E0A"/>
    <w:rsid w:val="00D907F1"/>
    <w:rsid w:val="00DA2522"/>
    <w:rsid w:val="00DA5701"/>
    <w:rsid w:val="00E0111A"/>
    <w:rsid w:val="00E20DD4"/>
    <w:rsid w:val="00E437E6"/>
    <w:rsid w:val="00E50B02"/>
    <w:rsid w:val="00E757D9"/>
    <w:rsid w:val="00E80EDD"/>
    <w:rsid w:val="00E83B1B"/>
    <w:rsid w:val="00E9715F"/>
    <w:rsid w:val="00E97493"/>
    <w:rsid w:val="00EA0B6D"/>
    <w:rsid w:val="00EB34D6"/>
    <w:rsid w:val="00EC11EA"/>
    <w:rsid w:val="00EE474B"/>
    <w:rsid w:val="00F14972"/>
    <w:rsid w:val="00F17C27"/>
    <w:rsid w:val="00F219CD"/>
    <w:rsid w:val="00F32FD3"/>
    <w:rsid w:val="00F43861"/>
    <w:rsid w:val="00F87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41A9"/>
  <w15:chartTrackingRefBased/>
  <w15:docId w15:val="{729A64B0-0DCD-4E21-B7F0-6F55BB6D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BE6"/>
    <w:rPr>
      <w:color w:val="0563C1" w:themeColor="hyperlink"/>
      <w:u w:val="single"/>
    </w:rPr>
  </w:style>
  <w:style w:type="table" w:styleId="a4">
    <w:name w:val="Table Grid"/>
    <w:basedOn w:val="a1"/>
    <w:uiPriority w:val="39"/>
    <w:rsid w:val="0086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66E83"/>
    <w:pPr>
      <w:ind w:left="720"/>
      <w:contextualSpacing/>
    </w:pPr>
  </w:style>
  <w:style w:type="paragraph" w:styleId="a6">
    <w:name w:val="footnote text"/>
    <w:basedOn w:val="a"/>
    <w:link w:val="a7"/>
    <w:uiPriority w:val="99"/>
    <w:semiHidden/>
    <w:unhideWhenUsed/>
    <w:rsid w:val="002F16F5"/>
    <w:pPr>
      <w:spacing w:after="0" w:line="240" w:lineRule="auto"/>
    </w:pPr>
    <w:rPr>
      <w:sz w:val="20"/>
      <w:szCs w:val="20"/>
    </w:rPr>
  </w:style>
  <w:style w:type="character" w:customStyle="1" w:styleId="a7">
    <w:name w:val="Текст сноски Знак"/>
    <w:basedOn w:val="a0"/>
    <w:link w:val="a6"/>
    <w:uiPriority w:val="99"/>
    <w:semiHidden/>
    <w:rsid w:val="002F16F5"/>
    <w:rPr>
      <w:sz w:val="20"/>
      <w:szCs w:val="20"/>
    </w:rPr>
  </w:style>
  <w:style w:type="character" w:styleId="a8">
    <w:name w:val="footnote reference"/>
    <w:basedOn w:val="a0"/>
    <w:uiPriority w:val="99"/>
    <w:semiHidden/>
    <w:unhideWhenUsed/>
    <w:rsid w:val="002F16F5"/>
    <w:rPr>
      <w:vertAlign w:val="superscript"/>
    </w:rPr>
  </w:style>
  <w:style w:type="character" w:styleId="a9">
    <w:name w:val="FollowedHyperlink"/>
    <w:basedOn w:val="a0"/>
    <w:uiPriority w:val="99"/>
    <w:semiHidden/>
    <w:unhideWhenUsed/>
    <w:rsid w:val="003606B4"/>
    <w:rPr>
      <w:color w:val="954F72" w:themeColor="followedHyperlink"/>
      <w:u w:val="single"/>
    </w:rPr>
  </w:style>
  <w:style w:type="paragraph" w:styleId="aa">
    <w:name w:val="Balloon Text"/>
    <w:basedOn w:val="a"/>
    <w:link w:val="ab"/>
    <w:uiPriority w:val="99"/>
    <w:semiHidden/>
    <w:unhideWhenUsed/>
    <w:rsid w:val="002B3B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B3B9A"/>
    <w:rPr>
      <w:rFonts w:ascii="Segoe UI" w:hAnsi="Segoe UI" w:cs="Segoe UI"/>
      <w:sz w:val="18"/>
      <w:szCs w:val="18"/>
    </w:rPr>
  </w:style>
  <w:style w:type="paragraph" w:styleId="ac">
    <w:name w:val="Revision"/>
    <w:hidden/>
    <w:uiPriority w:val="99"/>
    <w:semiHidden/>
    <w:rsid w:val="00C2274E"/>
    <w:pPr>
      <w:spacing w:after="0" w:line="240" w:lineRule="auto"/>
    </w:pPr>
  </w:style>
  <w:style w:type="character" w:styleId="ad">
    <w:name w:val="annotation reference"/>
    <w:basedOn w:val="a0"/>
    <w:uiPriority w:val="99"/>
    <w:semiHidden/>
    <w:unhideWhenUsed/>
    <w:rsid w:val="00E80EDD"/>
    <w:rPr>
      <w:sz w:val="16"/>
      <w:szCs w:val="16"/>
    </w:rPr>
  </w:style>
  <w:style w:type="paragraph" w:styleId="ae">
    <w:name w:val="annotation text"/>
    <w:basedOn w:val="a"/>
    <w:link w:val="af"/>
    <w:uiPriority w:val="99"/>
    <w:semiHidden/>
    <w:unhideWhenUsed/>
    <w:rsid w:val="00E80EDD"/>
    <w:pPr>
      <w:spacing w:line="240" w:lineRule="auto"/>
    </w:pPr>
    <w:rPr>
      <w:sz w:val="20"/>
      <w:szCs w:val="20"/>
    </w:rPr>
  </w:style>
  <w:style w:type="character" w:customStyle="1" w:styleId="af">
    <w:name w:val="Текст примечания Знак"/>
    <w:basedOn w:val="a0"/>
    <w:link w:val="ae"/>
    <w:uiPriority w:val="99"/>
    <w:semiHidden/>
    <w:rsid w:val="00E80EDD"/>
    <w:rPr>
      <w:sz w:val="20"/>
      <w:szCs w:val="20"/>
    </w:rPr>
  </w:style>
  <w:style w:type="paragraph" w:styleId="af0">
    <w:name w:val="annotation subject"/>
    <w:basedOn w:val="ae"/>
    <w:next w:val="ae"/>
    <w:link w:val="af1"/>
    <w:uiPriority w:val="99"/>
    <w:semiHidden/>
    <w:unhideWhenUsed/>
    <w:rsid w:val="00E80EDD"/>
    <w:rPr>
      <w:b/>
      <w:bCs/>
    </w:rPr>
  </w:style>
  <w:style w:type="character" w:customStyle="1" w:styleId="af1">
    <w:name w:val="Тема примечания Знак"/>
    <w:basedOn w:val="af"/>
    <w:link w:val="af0"/>
    <w:uiPriority w:val="99"/>
    <w:semiHidden/>
    <w:rsid w:val="00E80EDD"/>
    <w:rPr>
      <w:b/>
      <w:bCs/>
      <w:sz w:val="20"/>
      <w:szCs w:val="20"/>
    </w:rPr>
  </w:style>
  <w:style w:type="paragraph" w:customStyle="1" w:styleId="Disclaimer">
    <w:name w:val="Disclaimer"/>
    <w:basedOn w:val="a"/>
    <w:qFormat/>
    <w:rsid w:val="001E2257"/>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1E2257"/>
    <w:pPr>
      <w:shd w:val="clear" w:color="auto" w:fill="000000"/>
      <w:spacing w:after="200" w:line="240" w:lineRule="auto"/>
      <w:jc w:val="center"/>
    </w:pPr>
    <w:rPr>
      <w:rFonts w:eastAsiaTheme="minorHAnsi"/>
      <w:color w:val="FFFF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fstb-consults-on-regulating-otc-virtual-asset-trading/" TargetMode="External"/><Relationship Id="rId13" Type="http://schemas.openxmlformats.org/officeDocument/2006/relationships/hyperlink" Target="https://www.charltonslaw.com/hkex-consults-on-listing-rules-relating-to-treasury-sha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ex.com.hk/-/media/HKEX-Market/News/Market-Consultations/2016-Present/October-2023-Treasury-Shares/Consultation-Paper/cp20231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rules.hkex.com.hk/sites/default/files/net_file_store/FAQ156-2024_to_162-2024e.pdf" TargetMode="External"/><Relationship Id="rId5" Type="http://schemas.openxmlformats.org/officeDocument/2006/relationships/webSettings" Target="webSetting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en-rules.hkex.com.hk/sites/default/files/net_file_store/GL119-24_e.pdf"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October-2023-Treasury-Shares/Conclusions-Apr-2024/cp202310cc.pdf" TargetMode="External"/><Relationship Id="rId14" Type="http://schemas.openxmlformats.org/officeDocument/2006/relationships/hyperlink" Target="https://en-rules.hkex.com.hk/sites/default/files/net_file_store/FAQ%20083-2022%20to%20101-2022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08745E-45FA-48BB-8E2D-32332969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4270</Words>
  <Characters>24341</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Charltons</dc:creator>
  <cp:lastModifiedBy>Александр Пирогов</cp:lastModifiedBy>
  <cp:revision>10</cp:revision>
  <dcterms:created xsi:type="dcterms:W3CDTF">2024-04-23T10:05:00Z</dcterms:created>
  <dcterms:modified xsi:type="dcterms:W3CDTF">2024-04-23T17:12:00Z</dcterms:modified>
</cp:coreProperties>
</file>